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3A62" w14:textId="5BD02E92" w:rsidR="001D488F" w:rsidRPr="001E0B8E" w:rsidRDefault="00AC1F42" w:rsidP="000015D0">
      <w:pPr>
        <w:jc w:val="center"/>
        <w:rPr>
          <w:b/>
          <w:bCs/>
          <w:strike/>
          <w:color w:val="29588C"/>
          <w:sz w:val="40"/>
          <w:szCs w:val="40"/>
        </w:rPr>
      </w:pPr>
      <w:r w:rsidRPr="00643516">
        <w:rPr>
          <w:b/>
          <w:bCs/>
          <w:color w:val="002060"/>
          <w:sz w:val="40"/>
          <w:szCs w:val="40"/>
        </w:rPr>
        <w:t>Re</w:t>
      </w:r>
      <w:r w:rsidR="001D488F" w:rsidRPr="00643516">
        <w:rPr>
          <w:b/>
          <w:bCs/>
          <w:color w:val="002060"/>
          <w:sz w:val="40"/>
          <w:szCs w:val="40"/>
        </w:rPr>
        <w:t xml:space="preserve">gulatory </w:t>
      </w:r>
      <w:r w:rsidR="001D488F" w:rsidRPr="0032610A">
        <w:rPr>
          <w:b/>
          <w:bCs/>
          <w:color w:val="002060"/>
          <w:sz w:val="40"/>
          <w:szCs w:val="40"/>
        </w:rPr>
        <w:t>Dispatch</w:t>
      </w:r>
    </w:p>
    <w:p w14:paraId="593C85A7" w14:textId="77777777" w:rsidR="001D2E7A" w:rsidRPr="00D038B1" w:rsidRDefault="001D2E7A" w:rsidP="000015D0">
      <w:pPr>
        <w:jc w:val="center"/>
        <w:rPr>
          <w:b/>
          <w:bCs/>
          <w:i/>
          <w:iCs/>
        </w:rPr>
      </w:pPr>
      <w:r w:rsidRPr="00D038B1">
        <w:rPr>
          <w:b/>
          <w:bCs/>
          <w:i/>
          <w:iCs/>
        </w:rPr>
        <w:t xml:space="preserve">Timely news and resources community bankers can use </w:t>
      </w:r>
    </w:p>
    <w:p w14:paraId="782C57B3" w14:textId="11A4B40F" w:rsidR="001D488F" w:rsidRDefault="001D2E7A" w:rsidP="00291837">
      <w:pPr>
        <w:jc w:val="center"/>
        <w:rPr>
          <w:b/>
          <w:bCs/>
          <w:i/>
          <w:iCs/>
        </w:rPr>
      </w:pPr>
      <w:r w:rsidRPr="00D038B1">
        <w:rPr>
          <w:b/>
          <w:bCs/>
          <w:i/>
          <w:iCs/>
        </w:rPr>
        <w:t>to better stay on top of a rapidly changing world.</w:t>
      </w:r>
    </w:p>
    <w:p w14:paraId="222A749C" w14:textId="594515C5" w:rsidR="00291837" w:rsidRPr="001E0B8E" w:rsidRDefault="00291837" w:rsidP="008D4A1D">
      <w:pPr>
        <w:spacing w:after="0" w:line="240" w:lineRule="auto"/>
        <w:rPr>
          <w:rFonts w:ascii="Calibri" w:eastAsia="Times New Roman" w:hAnsi="Calibri" w:cs="Calibri"/>
        </w:rPr>
      </w:pPr>
      <w:bookmarkStart w:id="0" w:name="_Hlk80258260"/>
      <w:bookmarkStart w:id="1" w:name="_Hlk83204901"/>
      <w:bookmarkStart w:id="2" w:name="_Hlk79564040"/>
      <w:bookmarkStart w:id="3" w:name="_Hlk81988823"/>
    </w:p>
    <w:p w14:paraId="586DC76D" w14:textId="1669699C" w:rsidR="00253248" w:rsidRPr="00253248" w:rsidRDefault="00253248" w:rsidP="00253248">
      <w:pPr>
        <w:rPr>
          <w:rFonts w:cstheme="minorHAnsi"/>
          <w:sz w:val="28"/>
          <w:szCs w:val="28"/>
        </w:rPr>
      </w:pPr>
      <w:bookmarkStart w:id="4" w:name="_Hlk83806435"/>
      <w:bookmarkStart w:id="5" w:name="_Hlk84405847"/>
      <w:bookmarkStart w:id="6" w:name="_Hlk85004969"/>
      <w:bookmarkStart w:id="7" w:name="_Hlk86221722"/>
      <w:bookmarkStart w:id="8" w:name="_Hlk87422987"/>
      <w:bookmarkStart w:id="9" w:name="_Hlk118437976"/>
      <w:bookmarkStart w:id="10" w:name="_Hlk116453118"/>
      <w:bookmarkStart w:id="11" w:name="_Hlk90457423"/>
      <w:r w:rsidRPr="00253248">
        <w:rPr>
          <w:rFonts w:cstheme="minorHAnsi"/>
          <w:b/>
          <w:bCs/>
          <w:sz w:val="28"/>
          <w:szCs w:val="28"/>
        </w:rPr>
        <w:t xml:space="preserve">CFPB </w:t>
      </w:r>
      <w:hyperlink r:id="rId8" w:history="1">
        <w:r w:rsidRPr="00253248">
          <w:rPr>
            <w:rStyle w:val="Hyperlink"/>
            <w:rFonts w:cstheme="minorHAnsi"/>
            <w:sz w:val="28"/>
            <w:szCs w:val="28"/>
          </w:rPr>
          <w:t>Issue</w:t>
        </w:r>
        <w:r>
          <w:rPr>
            <w:rStyle w:val="Hyperlink"/>
            <w:rFonts w:cstheme="minorHAnsi"/>
            <w:sz w:val="28"/>
            <w:szCs w:val="28"/>
          </w:rPr>
          <w:t>s</w:t>
        </w:r>
        <w:r w:rsidRPr="00253248">
          <w:rPr>
            <w:rStyle w:val="Hyperlink"/>
            <w:rFonts w:cstheme="minorHAnsi"/>
            <w:sz w:val="28"/>
            <w:szCs w:val="28"/>
          </w:rPr>
          <w:t xml:space="preserve"> Technical Amendment – HMDA Closed-End Reporting Threshold</w:t>
        </w:r>
      </w:hyperlink>
      <w:r w:rsidRPr="00253248">
        <w:rPr>
          <w:rFonts w:cstheme="minorHAnsi"/>
          <w:sz w:val="28"/>
          <w:szCs w:val="28"/>
        </w:rPr>
        <w:t xml:space="preserve"> </w:t>
      </w:r>
    </w:p>
    <w:p w14:paraId="59143EE2" w14:textId="135A2B92" w:rsidR="00253248" w:rsidRPr="00253248" w:rsidRDefault="00253248" w:rsidP="00253248">
      <w:pPr>
        <w:rPr>
          <w:rFonts w:cstheme="minorHAnsi"/>
          <w:sz w:val="24"/>
          <w:szCs w:val="24"/>
        </w:rPr>
      </w:pPr>
      <w:r w:rsidRPr="00253248">
        <w:rPr>
          <w:rFonts w:cstheme="minorHAnsi"/>
          <w:sz w:val="24"/>
          <w:szCs w:val="24"/>
        </w:rPr>
        <w:t xml:space="preserve">In April 2020, the Consumer Financial Protection Bureau issued a final rule (2020 HMDA Rule) to amend Regulation C to increase the threshold for reporting data about closed-end mortgage loans.  The 2020 HMDA Rule increased the closed-end mortgage loan reporting threshold from 25 loans to 100 loans in each of the two preceding calendar years, effective July 1, 2020.  On September 23, 2022, the United States District Court for the District of Columbia vacated the 2020 HMDA Rule as to the increased loan-volume reporting threshold for closed-end mortgage loans.  As a result of the September 23, </w:t>
      </w:r>
      <w:proofErr w:type="gramStart"/>
      <w:r w:rsidRPr="00253248">
        <w:rPr>
          <w:rFonts w:cstheme="minorHAnsi"/>
          <w:sz w:val="24"/>
          <w:szCs w:val="24"/>
        </w:rPr>
        <w:t>2022</w:t>
      </w:r>
      <w:proofErr w:type="gramEnd"/>
      <w:r w:rsidRPr="00253248">
        <w:rPr>
          <w:rFonts w:cstheme="minorHAnsi"/>
          <w:sz w:val="24"/>
          <w:szCs w:val="24"/>
        </w:rPr>
        <w:t xml:space="preserve"> order, the threshold for reporting data about closed-end mortgage loans is 25, the threshold established by the 2015 HMDA Rule.  </w:t>
      </w:r>
      <w:r w:rsidRPr="00E00EE3">
        <w:rPr>
          <w:rFonts w:cstheme="minorHAnsi"/>
          <w:b/>
          <w:bCs/>
          <w:sz w:val="24"/>
          <w:szCs w:val="24"/>
        </w:rPr>
        <w:t>Accordingly, this technical amendment updates the Code of Federal Regulations to reflect the closed-end mortgage loan reporting threshold of 25 mortgage loans in each of the two preceding calendar years.</w:t>
      </w:r>
    </w:p>
    <w:p w14:paraId="12709086" w14:textId="7F30EEAC" w:rsidR="00253248" w:rsidRPr="00253248" w:rsidRDefault="00253248" w:rsidP="00253248">
      <w:pPr>
        <w:rPr>
          <w:rFonts w:cstheme="minorHAnsi"/>
          <w:b/>
          <w:bCs/>
          <w:i/>
          <w:iCs/>
          <w:color w:val="002060"/>
          <w:sz w:val="24"/>
          <w:szCs w:val="24"/>
        </w:rPr>
      </w:pPr>
      <w:r w:rsidRPr="00253248">
        <w:rPr>
          <w:rFonts w:cstheme="minorHAnsi"/>
          <w:b/>
          <w:bCs/>
          <w:i/>
          <w:iCs/>
          <w:color w:val="002060"/>
          <w:sz w:val="24"/>
          <w:szCs w:val="24"/>
        </w:rPr>
        <w:t xml:space="preserve">Comment: </w:t>
      </w:r>
      <w:r w:rsidR="000C258A">
        <w:rPr>
          <w:rFonts w:cstheme="minorHAnsi"/>
          <w:b/>
          <w:bCs/>
          <w:i/>
          <w:iCs/>
          <w:color w:val="002060"/>
          <w:sz w:val="24"/>
          <w:szCs w:val="24"/>
        </w:rPr>
        <w:t>In the 2022 ruling, the</w:t>
      </w:r>
      <w:r w:rsidR="000C258A" w:rsidRPr="000C258A">
        <w:rPr>
          <w:rFonts w:cstheme="minorHAnsi"/>
          <w:b/>
          <w:bCs/>
          <w:i/>
          <w:iCs/>
          <w:color w:val="002060"/>
          <w:sz w:val="24"/>
          <w:szCs w:val="24"/>
        </w:rPr>
        <w:t xml:space="preserve"> court noted that “while higher volume exemption thresholds ‘might not significantly impact the value of HMDA data for analysis at the national level,’ they ‘would have a material negative impact on the availability of data about patterns and trends at the local level,’ which data was ‘essential to achieve HMDA’s purposes.’”</w:t>
      </w:r>
      <w:r w:rsidR="000C258A">
        <w:rPr>
          <w:rFonts w:cstheme="minorHAnsi"/>
          <w:b/>
          <w:bCs/>
          <w:i/>
          <w:iCs/>
          <w:color w:val="002060"/>
          <w:sz w:val="24"/>
          <w:szCs w:val="24"/>
        </w:rPr>
        <w:t xml:space="preserve">  Based upon the court findings, this ‘amendment’ is </w:t>
      </w:r>
      <w:r w:rsidR="00732248">
        <w:rPr>
          <w:rFonts w:cstheme="minorHAnsi"/>
          <w:b/>
          <w:bCs/>
          <w:i/>
          <w:iCs/>
          <w:color w:val="002060"/>
          <w:sz w:val="24"/>
          <w:szCs w:val="24"/>
        </w:rPr>
        <w:t xml:space="preserve">not unexpected.  </w:t>
      </w:r>
      <w:r w:rsidR="005C0D2C">
        <w:rPr>
          <w:rFonts w:cstheme="minorHAnsi"/>
          <w:b/>
          <w:bCs/>
          <w:i/>
          <w:iCs/>
          <w:color w:val="002060"/>
          <w:sz w:val="24"/>
          <w:szCs w:val="24"/>
        </w:rPr>
        <w:t>It’s worth noting that while the</w:t>
      </w:r>
      <w:r w:rsidR="00732248">
        <w:rPr>
          <w:rFonts w:cstheme="minorHAnsi"/>
          <w:b/>
          <w:bCs/>
          <w:i/>
          <w:iCs/>
          <w:color w:val="002060"/>
          <w:sz w:val="24"/>
          <w:szCs w:val="24"/>
        </w:rPr>
        <w:t xml:space="preserve"> number of banks who will become HMDA reports</w:t>
      </w:r>
      <w:r w:rsidR="005C0D2C">
        <w:rPr>
          <w:rFonts w:cstheme="minorHAnsi"/>
          <w:b/>
          <w:bCs/>
          <w:i/>
          <w:iCs/>
          <w:color w:val="002060"/>
          <w:sz w:val="24"/>
          <w:szCs w:val="24"/>
        </w:rPr>
        <w:t xml:space="preserve"> because of the lower threshold</w:t>
      </w:r>
      <w:r w:rsidR="00732248">
        <w:rPr>
          <w:rFonts w:cstheme="minorHAnsi"/>
          <w:b/>
          <w:bCs/>
          <w:i/>
          <w:iCs/>
          <w:color w:val="002060"/>
          <w:sz w:val="24"/>
          <w:szCs w:val="24"/>
        </w:rPr>
        <w:t xml:space="preserve"> is </w:t>
      </w:r>
      <w:r w:rsidR="005C0D2C">
        <w:rPr>
          <w:rFonts w:cstheme="minorHAnsi"/>
          <w:b/>
          <w:bCs/>
          <w:i/>
          <w:iCs/>
          <w:color w:val="002060"/>
          <w:sz w:val="24"/>
          <w:szCs w:val="24"/>
        </w:rPr>
        <w:t>material,</w:t>
      </w:r>
      <w:r w:rsidR="00732248">
        <w:rPr>
          <w:rFonts w:cstheme="minorHAnsi"/>
          <w:b/>
          <w:bCs/>
          <w:i/>
          <w:iCs/>
          <w:color w:val="002060"/>
          <w:sz w:val="24"/>
          <w:szCs w:val="24"/>
        </w:rPr>
        <w:t xml:space="preserve"> the number of actual loan</w:t>
      </w:r>
      <w:r w:rsidR="005C0D2C">
        <w:rPr>
          <w:rFonts w:cstheme="minorHAnsi"/>
          <w:b/>
          <w:bCs/>
          <w:i/>
          <w:iCs/>
          <w:color w:val="002060"/>
          <w:sz w:val="24"/>
          <w:szCs w:val="24"/>
        </w:rPr>
        <w:t>s</w:t>
      </w:r>
      <w:r w:rsidR="00732248">
        <w:rPr>
          <w:rFonts w:cstheme="minorHAnsi"/>
          <w:b/>
          <w:bCs/>
          <w:i/>
          <w:iCs/>
          <w:color w:val="002060"/>
          <w:sz w:val="24"/>
          <w:szCs w:val="24"/>
        </w:rPr>
        <w:t xml:space="preserve"> reported on </w:t>
      </w:r>
      <w:r w:rsidR="005C0D2C">
        <w:rPr>
          <w:rFonts w:cstheme="minorHAnsi"/>
          <w:b/>
          <w:bCs/>
          <w:i/>
          <w:iCs/>
          <w:color w:val="002060"/>
          <w:sz w:val="24"/>
          <w:szCs w:val="24"/>
        </w:rPr>
        <w:t xml:space="preserve">by those banks </w:t>
      </w:r>
      <w:r w:rsidR="00732248">
        <w:rPr>
          <w:rFonts w:cstheme="minorHAnsi"/>
          <w:b/>
          <w:bCs/>
          <w:i/>
          <w:iCs/>
          <w:color w:val="002060"/>
          <w:sz w:val="24"/>
          <w:szCs w:val="24"/>
        </w:rPr>
        <w:t xml:space="preserve">is </w:t>
      </w:r>
      <w:r w:rsidR="005C0D2C">
        <w:rPr>
          <w:rFonts w:cstheme="minorHAnsi"/>
          <w:b/>
          <w:bCs/>
          <w:i/>
          <w:iCs/>
          <w:color w:val="002060"/>
          <w:sz w:val="24"/>
          <w:szCs w:val="24"/>
        </w:rPr>
        <w:t>not material</w:t>
      </w:r>
      <w:r w:rsidR="00732248">
        <w:rPr>
          <w:rFonts w:cstheme="minorHAnsi"/>
          <w:b/>
          <w:bCs/>
          <w:i/>
          <w:iCs/>
          <w:color w:val="002060"/>
          <w:sz w:val="24"/>
          <w:szCs w:val="24"/>
        </w:rPr>
        <w:t xml:space="preserve">. </w:t>
      </w:r>
    </w:p>
    <w:p w14:paraId="3E438A5C" w14:textId="77777777" w:rsidR="002078B2" w:rsidRPr="002078B2" w:rsidRDefault="002078B2" w:rsidP="00971DC0">
      <w:pPr>
        <w:spacing w:after="0" w:line="240" w:lineRule="auto"/>
        <w:rPr>
          <w:rFonts w:cstheme="minorHAnsi"/>
          <w:color w:val="000000" w:themeColor="text1"/>
        </w:rPr>
      </w:pPr>
    </w:p>
    <w:p w14:paraId="293F838C" w14:textId="77777777" w:rsidR="00861A50" w:rsidRPr="00861A50" w:rsidRDefault="00861A50" w:rsidP="00470F65">
      <w:pPr>
        <w:spacing w:after="0" w:line="240" w:lineRule="auto"/>
        <w:rPr>
          <w:rFonts w:ascii="Calibri" w:eastAsia="Calibri" w:hAnsi="Calibri" w:cs="Calibri"/>
          <w:color w:val="000000"/>
        </w:rPr>
      </w:pPr>
      <w:bookmarkStart w:id="12" w:name="_Hlk107990454"/>
      <w:bookmarkStart w:id="13" w:name="_Hlk109197871"/>
      <w:bookmarkStart w:id="14" w:name="_Hlk117665203"/>
      <w:bookmarkStart w:id="15" w:name="_Hlk118873733"/>
      <w:bookmarkStart w:id="16" w:name="_Hlk120083518"/>
      <w:bookmarkStart w:id="17" w:name="_Hlk121294347"/>
      <w:bookmarkStart w:id="18" w:name="_Hlk120691315"/>
      <w:bookmarkStart w:id="19" w:name="_Hlk118105449"/>
      <w:bookmarkStart w:id="20" w:name="_Hlk100735248"/>
      <w:bookmarkStart w:id="21" w:name="_Hlk92872848"/>
      <w:bookmarkStart w:id="22" w:name="_Hlk81984412"/>
      <w:bookmarkEnd w:id="0"/>
      <w:bookmarkEnd w:id="1"/>
      <w:bookmarkEnd w:id="4"/>
      <w:bookmarkEnd w:id="5"/>
      <w:bookmarkEnd w:id="6"/>
      <w:bookmarkEnd w:id="7"/>
      <w:bookmarkEnd w:id="8"/>
      <w:bookmarkEnd w:id="9"/>
      <w:r w:rsidRPr="00861A50">
        <w:rPr>
          <w:rFonts w:ascii="Verdana" w:eastAsia="Calibri" w:hAnsi="Verdana" w:cs="Calibri"/>
          <w:b/>
          <w:bCs/>
          <w:color w:val="002060"/>
          <w:sz w:val="28"/>
          <w:szCs w:val="28"/>
        </w:rPr>
        <w:t>IBAT Insights (Ask IBAT Anything)</w:t>
      </w:r>
      <w:r w:rsidRPr="00861A50">
        <w:rPr>
          <w:rFonts w:ascii="Calibri" w:eastAsia="Calibri" w:hAnsi="Calibri" w:cs="Calibri"/>
          <w:color w:val="002060"/>
        </w:rPr>
        <w:t xml:space="preserve"> </w:t>
      </w:r>
      <w:bookmarkEnd w:id="12"/>
      <w:bookmarkEnd w:id="13"/>
    </w:p>
    <w:p w14:paraId="04A65A9E" w14:textId="77777777" w:rsidR="00861A50" w:rsidRPr="00861A50" w:rsidRDefault="00861A50" w:rsidP="00861A50">
      <w:pPr>
        <w:spacing w:after="0" w:line="240" w:lineRule="auto"/>
        <w:rPr>
          <w:rFonts w:ascii="Calibri" w:eastAsia="Calibri" w:hAnsi="Calibri" w:cs="Calibri"/>
          <w:color w:val="000000"/>
        </w:rPr>
      </w:pPr>
    </w:p>
    <w:bookmarkEnd w:id="10"/>
    <w:bookmarkEnd w:id="14"/>
    <w:bookmarkEnd w:id="15"/>
    <w:p w14:paraId="6C043418" w14:textId="638CB25E" w:rsidR="00DD2BFD" w:rsidRPr="00DD2BFD" w:rsidRDefault="00DD2BFD" w:rsidP="00DD2BFD">
      <w:pPr>
        <w:spacing w:after="0" w:line="240" w:lineRule="auto"/>
        <w:rPr>
          <w:rFonts w:ascii="Calibri" w:eastAsia="Calibri" w:hAnsi="Calibri" w:cs="Calibri"/>
          <w:color w:val="000000"/>
        </w:rPr>
      </w:pPr>
      <w:r w:rsidRPr="00DD2BFD">
        <w:rPr>
          <w:rFonts w:ascii="Calibri" w:eastAsia="Calibri" w:hAnsi="Calibri" w:cs="Calibri"/>
          <w:color w:val="000000"/>
        </w:rPr>
        <w:t xml:space="preserve">Q. </w:t>
      </w:r>
      <w:r w:rsidR="004F4EF2" w:rsidRPr="004F4EF2">
        <w:rPr>
          <w:rFonts w:ascii="Calibri" w:eastAsia="Calibri" w:hAnsi="Calibri" w:cs="Calibri"/>
          <w:color w:val="000000"/>
        </w:rPr>
        <w:t xml:space="preserve">I have notes from IBAT </w:t>
      </w:r>
      <w:r w:rsidR="004F4EF2">
        <w:rPr>
          <w:rFonts w:ascii="Calibri" w:eastAsia="Calibri" w:hAnsi="Calibri" w:cs="Calibri"/>
          <w:color w:val="000000"/>
        </w:rPr>
        <w:t>Compliance Summit</w:t>
      </w:r>
      <w:r w:rsidR="004F4EF2" w:rsidRPr="004F4EF2">
        <w:rPr>
          <w:rFonts w:ascii="Calibri" w:eastAsia="Calibri" w:hAnsi="Calibri" w:cs="Calibri"/>
          <w:color w:val="000000"/>
        </w:rPr>
        <w:t xml:space="preserve"> last month that</w:t>
      </w:r>
      <w:r w:rsidR="004F4EF2">
        <w:rPr>
          <w:rFonts w:ascii="Calibri" w:eastAsia="Calibri" w:hAnsi="Calibri" w:cs="Calibri"/>
          <w:color w:val="000000"/>
        </w:rPr>
        <w:t xml:space="preserve"> says</w:t>
      </w:r>
      <w:r w:rsidR="004F4EF2" w:rsidRPr="004F4EF2">
        <w:rPr>
          <w:rFonts w:ascii="Calibri" w:eastAsia="Calibri" w:hAnsi="Calibri" w:cs="Calibri"/>
          <w:color w:val="000000"/>
        </w:rPr>
        <w:t xml:space="preserve"> the 2% fee cap excludes an </w:t>
      </w:r>
      <w:r w:rsidR="00955387" w:rsidRPr="004F4EF2">
        <w:rPr>
          <w:rFonts w:ascii="Calibri" w:eastAsia="Calibri" w:hAnsi="Calibri" w:cs="Calibri"/>
          <w:color w:val="000000"/>
        </w:rPr>
        <w:t>appraisal but</w:t>
      </w:r>
      <w:r w:rsidR="004F4EF2" w:rsidRPr="004F4EF2">
        <w:rPr>
          <w:rFonts w:ascii="Calibri" w:eastAsia="Calibri" w:hAnsi="Calibri" w:cs="Calibri"/>
          <w:color w:val="000000"/>
        </w:rPr>
        <w:t xml:space="preserve"> does not exclude an evaluation or opinion of value performed by an appraisal company or appraiser.  The “appraisal” I’m looking at in our loan file </w:t>
      </w:r>
      <w:r w:rsidR="00955387" w:rsidRPr="004F4EF2">
        <w:rPr>
          <w:rFonts w:ascii="Calibri" w:eastAsia="Calibri" w:hAnsi="Calibri" w:cs="Calibri"/>
          <w:color w:val="000000"/>
        </w:rPr>
        <w:t>states,</w:t>
      </w:r>
      <w:r w:rsidR="004F4EF2" w:rsidRPr="004F4EF2">
        <w:rPr>
          <w:rFonts w:ascii="Calibri" w:eastAsia="Calibri" w:hAnsi="Calibri" w:cs="Calibri"/>
          <w:color w:val="000000"/>
        </w:rPr>
        <w:t xml:space="preserve"> “Evaluation of Real Property” and “This is not an appraisal performed in accordance with the USPAP.”</w:t>
      </w:r>
      <w:r w:rsidR="004F4EF2">
        <w:rPr>
          <w:rFonts w:ascii="Calibri" w:eastAsia="Calibri" w:hAnsi="Calibri" w:cs="Calibri"/>
          <w:color w:val="000000"/>
        </w:rPr>
        <w:t xml:space="preserve">  </w:t>
      </w:r>
      <w:r w:rsidR="004F4EF2" w:rsidRPr="004F4EF2">
        <w:rPr>
          <w:rFonts w:ascii="Calibri" w:eastAsia="Calibri" w:hAnsi="Calibri" w:cs="Calibri"/>
          <w:color w:val="000000"/>
        </w:rPr>
        <w:t xml:space="preserve">I want to be sure my notes are accurate.  </w:t>
      </w:r>
      <w:proofErr w:type="gramStart"/>
      <w:r w:rsidR="004F4EF2" w:rsidRPr="004F4EF2">
        <w:rPr>
          <w:rFonts w:ascii="Calibri" w:eastAsia="Calibri" w:hAnsi="Calibri" w:cs="Calibri"/>
          <w:color w:val="000000"/>
        </w:rPr>
        <w:t>So</w:t>
      </w:r>
      <w:proofErr w:type="gramEnd"/>
      <w:r w:rsidR="004F4EF2" w:rsidRPr="004F4EF2">
        <w:rPr>
          <w:rFonts w:ascii="Calibri" w:eastAsia="Calibri" w:hAnsi="Calibri" w:cs="Calibri"/>
          <w:color w:val="000000"/>
        </w:rPr>
        <w:t xml:space="preserve"> the fee for this “appraisal” I am looking at will be included in the 2% fee cap, correct?</w:t>
      </w:r>
    </w:p>
    <w:p w14:paraId="784F634B" w14:textId="77777777" w:rsidR="00DD2BFD" w:rsidRPr="00DD2BFD" w:rsidRDefault="00DD2BFD" w:rsidP="00DD2BFD">
      <w:pPr>
        <w:spacing w:after="0" w:line="240" w:lineRule="auto"/>
        <w:rPr>
          <w:rFonts w:ascii="Calibri" w:eastAsia="Calibri" w:hAnsi="Calibri" w:cs="Calibri"/>
          <w:color w:val="000000"/>
        </w:rPr>
      </w:pPr>
    </w:p>
    <w:p w14:paraId="47B01DB8" w14:textId="1AE3058B" w:rsidR="00847498" w:rsidRPr="00847498" w:rsidRDefault="00DD2BFD" w:rsidP="00955387">
      <w:pPr>
        <w:spacing w:after="0" w:line="240" w:lineRule="auto"/>
        <w:rPr>
          <w:rFonts w:ascii="Calibri" w:eastAsia="Calibri" w:hAnsi="Calibri" w:cs="Calibri"/>
          <w:color w:val="000000"/>
        </w:rPr>
      </w:pPr>
      <w:r w:rsidRPr="00DD2BFD">
        <w:rPr>
          <w:rFonts w:ascii="Calibri" w:eastAsia="Calibri" w:hAnsi="Calibri" w:cs="Calibri"/>
          <w:color w:val="000000"/>
        </w:rPr>
        <w:t>A.</w:t>
      </w:r>
      <w:bookmarkEnd w:id="16"/>
      <w:r w:rsidR="00847498" w:rsidRPr="00847498">
        <w:rPr>
          <w:rFonts w:ascii="Calibri" w:eastAsia="Calibri" w:hAnsi="Calibri" w:cs="Calibri"/>
          <w:color w:val="000000"/>
        </w:rPr>
        <w:t xml:space="preserve"> </w:t>
      </w:r>
      <w:r w:rsidR="004F4EF2">
        <w:rPr>
          <w:rFonts w:ascii="Calibri" w:eastAsia="Calibri" w:hAnsi="Calibri" w:cs="Calibri"/>
          <w:color w:val="000000"/>
        </w:rPr>
        <w:t>Correct.</w:t>
      </w:r>
      <w:r w:rsidR="00847498" w:rsidRPr="00847498">
        <w:rPr>
          <w:rFonts w:ascii="Calibri" w:eastAsia="Calibri" w:hAnsi="Calibri" w:cs="Calibri"/>
          <w:color w:val="000000"/>
        </w:rPr>
        <w:t xml:space="preserve"> </w:t>
      </w:r>
      <w:r w:rsidR="00955387">
        <w:rPr>
          <w:rFonts w:ascii="Calibri" w:eastAsia="Calibri" w:hAnsi="Calibri" w:cs="Calibri"/>
          <w:color w:val="000000"/>
        </w:rPr>
        <w:t>Below is from the interpretations issued by t</w:t>
      </w:r>
      <w:r w:rsidR="00955387" w:rsidRPr="00955387">
        <w:rPr>
          <w:rFonts w:ascii="Calibri" w:eastAsia="Calibri" w:hAnsi="Calibri" w:cs="Calibri"/>
          <w:color w:val="000000"/>
        </w:rPr>
        <w:t xml:space="preserve">he Finance Commission of Texas and the Texas Credit Union Commission </w:t>
      </w:r>
      <w:r w:rsidR="00955387">
        <w:rPr>
          <w:rFonts w:ascii="Calibri" w:eastAsia="Calibri" w:hAnsi="Calibri" w:cs="Calibri"/>
          <w:color w:val="000000"/>
        </w:rPr>
        <w:t xml:space="preserve">regarding </w:t>
      </w:r>
      <w:r w:rsidR="00955387" w:rsidRPr="00955387">
        <w:rPr>
          <w:rFonts w:ascii="Calibri" w:eastAsia="Calibri" w:hAnsi="Calibri" w:cs="Calibri"/>
          <w:color w:val="000000"/>
        </w:rPr>
        <w:t xml:space="preserve">amendments to the home equity lending </w:t>
      </w:r>
      <w:r w:rsidR="00955387">
        <w:rPr>
          <w:rFonts w:ascii="Calibri" w:eastAsia="Calibri" w:hAnsi="Calibri" w:cs="Calibri"/>
          <w:color w:val="000000"/>
        </w:rPr>
        <w:t xml:space="preserve">rules effective January 1, 2018. Notice the underlined passages added for emphasis. </w:t>
      </w:r>
    </w:p>
    <w:p w14:paraId="4A70F802" w14:textId="77777777" w:rsidR="00847498" w:rsidRPr="00847498" w:rsidRDefault="00847498" w:rsidP="00847498">
      <w:pPr>
        <w:spacing w:after="0" w:line="240" w:lineRule="auto"/>
        <w:rPr>
          <w:rFonts w:ascii="Calibri" w:eastAsia="Calibri" w:hAnsi="Calibri" w:cs="Calibri"/>
          <w:color w:val="000000"/>
        </w:rPr>
      </w:pPr>
    </w:p>
    <w:p w14:paraId="6AE733B3" w14:textId="77777777" w:rsidR="00847498" w:rsidRPr="00847498" w:rsidRDefault="00847498" w:rsidP="00847498">
      <w:pPr>
        <w:spacing w:after="0" w:line="240" w:lineRule="auto"/>
        <w:rPr>
          <w:rFonts w:ascii="Calibri" w:eastAsia="Calibri" w:hAnsi="Calibri" w:cs="Calibri"/>
          <w:color w:val="000000"/>
        </w:rPr>
      </w:pPr>
      <w:r w:rsidRPr="00847498">
        <w:rPr>
          <w:rFonts w:ascii="Calibri" w:eastAsia="Calibri" w:hAnsi="Calibri" w:cs="Calibri"/>
          <w:color w:val="000000"/>
        </w:rPr>
        <w:t>…snip</w:t>
      </w:r>
    </w:p>
    <w:p w14:paraId="42B7451A" w14:textId="77777777" w:rsidR="00847498" w:rsidRPr="00847498" w:rsidRDefault="00847498" w:rsidP="00847498">
      <w:pPr>
        <w:spacing w:after="0" w:line="240" w:lineRule="auto"/>
        <w:rPr>
          <w:rFonts w:ascii="Calibri" w:eastAsia="Calibri" w:hAnsi="Calibri" w:cs="Calibri"/>
          <w:color w:val="000000"/>
        </w:rPr>
      </w:pPr>
    </w:p>
    <w:p w14:paraId="4398C6BA" w14:textId="1E13A320" w:rsidR="004F4EF2" w:rsidRDefault="004F4EF2" w:rsidP="004F4EF2">
      <w:pPr>
        <w:spacing w:after="0" w:line="240" w:lineRule="auto"/>
        <w:rPr>
          <w:rFonts w:ascii="Calibri" w:eastAsia="Calibri" w:hAnsi="Calibri" w:cs="Calibri"/>
          <w:i/>
          <w:iCs/>
          <w:color w:val="000000"/>
        </w:rPr>
      </w:pPr>
      <w:r w:rsidRPr="004F4EF2">
        <w:rPr>
          <w:rFonts w:ascii="Calibri" w:eastAsia="Calibri" w:hAnsi="Calibri" w:cs="Calibri"/>
          <w:i/>
          <w:iCs/>
          <w:color w:val="000000"/>
        </w:rPr>
        <w:lastRenderedPageBreak/>
        <w:t xml:space="preserve">Proposed new paragraphs (13) - (16) in §153.5 identify the four types of fees that may be excluded from the two percent limitation under SJR 60's amendments to Section 50(a)(6)(E): </w:t>
      </w:r>
      <w:r w:rsidRPr="00955387">
        <w:rPr>
          <w:rFonts w:ascii="Calibri" w:eastAsia="Calibri" w:hAnsi="Calibri" w:cs="Calibri"/>
          <w:i/>
          <w:iCs/>
          <w:color w:val="000000"/>
          <w:u w:val="single"/>
        </w:rPr>
        <w:t>an appraisal fee</w:t>
      </w:r>
      <w:r w:rsidRPr="004F4EF2">
        <w:rPr>
          <w:rFonts w:ascii="Calibri" w:eastAsia="Calibri" w:hAnsi="Calibri" w:cs="Calibri"/>
          <w:i/>
          <w:iCs/>
          <w:color w:val="000000"/>
        </w:rPr>
        <w:t>, a property survey fee, a mortgagee title insurance premium, and a title report fee.</w:t>
      </w:r>
    </w:p>
    <w:p w14:paraId="7265C3A9" w14:textId="77777777" w:rsidR="004F4EF2" w:rsidRPr="004F4EF2" w:rsidRDefault="004F4EF2" w:rsidP="004F4EF2">
      <w:pPr>
        <w:spacing w:after="0" w:line="240" w:lineRule="auto"/>
        <w:rPr>
          <w:rFonts w:ascii="Calibri" w:eastAsia="Calibri" w:hAnsi="Calibri" w:cs="Calibri"/>
          <w:i/>
          <w:iCs/>
          <w:color w:val="000000"/>
        </w:rPr>
      </w:pPr>
    </w:p>
    <w:p w14:paraId="11E1BCA3" w14:textId="615EC587" w:rsidR="00847498" w:rsidRDefault="004F4EF2" w:rsidP="004F4EF2">
      <w:pPr>
        <w:spacing w:after="0" w:line="240" w:lineRule="auto"/>
        <w:rPr>
          <w:rFonts w:ascii="Calibri" w:eastAsia="Calibri" w:hAnsi="Calibri" w:cs="Calibri"/>
          <w:i/>
          <w:iCs/>
          <w:color w:val="000000"/>
        </w:rPr>
      </w:pPr>
      <w:r w:rsidRPr="004F4EF2">
        <w:rPr>
          <w:rFonts w:ascii="Calibri" w:eastAsia="Calibri" w:hAnsi="Calibri" w:cs="Calibri"/>
          <w:i/>
          <w:iCs/>
          <w:color w:val="000000"/>
        </w:rPr>
        <w:t xml:space="preserve">Proposed §153.5(13) states that an appraisal must be performed by a person who is not an employee of the lender, and that the excludable appraisal fee is limited to the fee paid to the appraiser for completion of the appraisal, not the fee for appraisal management services. </w:t>
      </w:r>
      <w:r w:rsidRPr="00955387">
        <w:rPr>
          <w:rFonts w:ascii="Calibri" w:eastAsia="Calibri" w:hAnsi="Calibri" w:cs="Calibri"/>
          <w:i/>
          <w:iCs/>
          <w:color w:val="000000"/>
          <w:u w:val="single"/>
        </w:rPr>
        <w:t xml:space="preserve">This paragraph is based on Section 50(a)(6)(E)(i) of SJR 60, which states that the two percent limitation excludes a fee for "an appraisal performed by a </w:t>
      </w:r>
      <w:r w:rsidR="00955387" w:rsidRPr="00955387">
        <w:rPr>
          <w:rFonts w:ascii="Calibri" w:eastAsia="Calibri" w:hAnsi="Calibri" w:cs="Calibri"/>
          <w:i/>
          <w:iCs/>
          <w:color w:val="000000"/>
          <w:u w:val="single"/>
        </w:rPr>
        <w:t>third-party</w:t>
      </w:r>
      <w:r w:rsidRPr="00955387">
        <w:rPr>
          <w:rFonts w:ascii="Calibri" w:eastAsia="Calibri" w:hAnsi="Calibri" w:cs="Calibri"/>
          <w:i/>
          <w:iCs/>
          <w:color w:val="000000"/>
          <w:u w:val="single"/>
        </w:rPr>
        <w:t xml:space="preserve"> appraiser."</w:t>
      </w:r>
      <w:r w:rsidRPr="004F4EF2">
        <w:rPr>
          <w:rFonts w:ascii="Calibri" w:eastAsia="Calibri" w:hAnsi="Calibri" w:cs="Calibri"/>
          <w:i/>
          <w:iCs/>
          <w:color w:val="000000"/>
        </w:rPr>
        <w:t xml:space="preserve"> Under Texas Occupations Code, §1104.158(a), an appraisal management company must "separately state the fees: (1) paid to an appraiser for the completion of an appraisal; and (2) charged by the company for appraisal management services" in reporting to a client. Proposed paragraph (13) specifies that only the first of these two fees, the fee paid to the appraiser for the completion of the appraisal, may be excluded from the two percent limitation. At the stakeholder meeting, one attendee asked whether a fee for an evaluation that is not an appraisal may be excluded. </w:t>
      </w:r>
      <w:r w:rsidRPr="00955387">
        <w:rPr>
          <w:rFonts w:ascii="Calibri" w:eastAsia="Calibri" w:hAnsi="Calibri" w:cs="Calibri"/>
          <w:i/>
          <w:iCs/>
          <w:color w:val="000000"/>
          <w:u w:val="single"/>
        </w:rPr>
        <w:t xml:space="preserve">This fee would be subject to the two percent limitation under proposed §153.5(8), which provides that charges to evaluate are generally subject to the two percent </w:t>
      </w:r>
      <w:r w:rsidR="00955387" w:rsidRPr="00955387">
        <w:rPr>
          <w:rFonts w:ascii="Calibri" w:eastAsia="Calibri" w:hAnsi="Calibri" w:cs="Calibri"/>
          <w:i/>
          <w:iCs/>
          <w:color w:val="000000"/>
          <w:u w:val="single"/>
        </w:rPr>
        <w:t>limitation and</w:t>
      </w:r>
      <w:r w:rsidRPr="00955387">
        <w:rPr>
          <w:rFonts w:ascii="Calibri" w:eastAsia="Calibri" w:hAnsi="Calibri" w:cs="Calibri"/>
          <w:i/>
          <w:iCs/>
          <w:color w:val="000000"/>
          <w:u w:val="single"/>
        </w:rPr>
        <w:t xml:space="preserve"> would not be excludable under proposed §153.5(13), which provides an exception to this general requirement for certain appraisal fees.</w:t>
      </w:r>
    </w:p>
    <w:bookmarkEnd w:id="17"/>
    <w:p w14:paraId="7D2107F3" w14:textId="22775F08" w:rsidR="00845979" w:rsidRDefault="00845979" w:rsidP="00DD2BFD">
      <w:pPr>
        <w:spacing w:after="0" w:line="240" w:lineRule="auto"/>
        <w:rPr>
          <w:rFonts w:ascii="Calibri" w:eastAsia="Calibri" w:hAnsi="Calibri" w:cs="Calibri"/>
          <w:color w:val="000000"/>
        </w:rPr>
      </w:pPr>
    </w:p>
    <w:bookmarkEnd w:id="2"/>
    <w:bookmarkEnd w:id="3"/>
    <w:bookmarkEnd w:id="11"/>
    <w:bookmarkEnd w:id="18"/>
    <w:bookmarkEnd w:id="19"/>
    <w:bookmarkEnd w:id="20"/>
    <w:bookmarkEnd w:id="21"/>
    <w:bookmarkEnd w:id="22"/>
    <w:p w14:paraId="227AF2CF" w14:textId="7377D2AC" w:rsidR="001D488F" w:rsidRPr="001E0B8E" w:rsidRDefault="001D488F">
      <w:pPr>
        <w:rPr>
          <w:rFonts w:ascii="Verdana" w:hAnsi="Verdana"/>
          <w:b/>
          <w:bCs/>
          <w:color w:val="29588C"/>
          <w:sz w:val="28"/>
          <w:szCs w:val="28"/>
        </w:rPr>
      </w:pPr>
      <w:r w:rsidRPr="001E0B8E">
        <w:rPr>
          <w:rFonts w:ascii="Verdana" w:hAnsi="Verdana"/>
          <w:b/>
          <w:bCs/>
          <w:color w:val="29588C"/>
          <w:sz w:val="28"/>
          <w:szCs w:val="28"/>
        </w:rPr>
        <w:t xml:space="preserve">Items of </w:t>
      </w:r>
      <w:r w:rsidR="000015D0" w:rsidRPr="001E0B8E">
        <w:rPr>
          <w:rFonts w:ascii="Verdana" w:hAnsi="Verdana"/>
          <w:b/>
          <w:bCs/>
          <w:color w:val="29588C"/>
          <w:sz w:val="28"/>
          <w:szCs w:val="28"/>
        </w:rPr>
        <w:t>Interest</w:t>
      </w:r>
    </w:p>
    <w:p w14:paraId="56DA15EE" w14:textId="14629729" w:rsidR="000015D0" w:rsidRPr="001E0B8E" w:rsidRDefault="000015D0">
      <w:pPr>
        <w:rPr>
          <w:rFonts w:ascii="Verdana" w:hAnsi="Verdana"/>
          <w:b/>
          <w:bCs/>
        </w:rPr>
      </w:pPr>
      <w:bookmarkStart w:id="23" w:name="_Hlk91505373"/>
      <w:r w:rsidRPr="001E0B8E">
        <w:rPr>
          <w:rFonts w:ascii="Verdana" w:hAnsi="Verdana"/>
          <w:b/>
          <w:bCs/>
        </w:rPr>
        <w:t>Bank Management</w:t>
      </w:r>
    </w:p>
    <w:tbl>
      <w:tblPr>
        <w:tblStyle w:val="TableGrid"/>
        <w:tblW w:w="0" w:type="auto"/>
        <w:tblLook w:val="04A0" w:firstRow="1" w:lastRow="0" w:firstColumn="1" w:lastColumn="0" w:noHBand="0" w:noVBand="1"/>
      </w:tblPr>
      <w:tblGrid>
        <w:gridCol w:w="985"/>
        <w:gridCol w:w="8365"/>
      </w:tblGrid>
      <w:tr w:rsidR="00732248" w:rsidRPr="001E0B8E" w14:paraId="6A836EF5" w14:textId="77777777" w:rsidTr="00211348">
        <w:tc>
          <w:tcPr>
            <w:tcW w:w="985" w:type="dxa"/>
            <w:shd w:val="clear" w:color="auto" w:fill="00B050"/>
          </w:tcPr>
          <w:p w14:paraId="380AC23E" w14:textId="77777777" w:rsidR="00732248" w:rsidRPr="001E0B8E" w:rsidRDefault="00732248" w:rsidP="007A5DE9">
            <w:pPr>
              <w:tabs>
                <w:tab w:val="left" w:pos="580"/>
              </w:tabs>
            </w:pPr>
          </w:p>
        </w:tc>
        <w:tc>
          <w:tcPr>
            <w:tcW w:w="8365" w:type="dxa"/>
          </w:tcPr>
          <w:p w14:paraId="2D12D72E" w14:textId="78F0888C"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b/>
                <w:bCs/>
                <w:color w:val="000000" w:themeColor="text1"/>
                <w:sz w:val="22"/>
                <w:szCs w:val="22"/>
              </w:rPr>
              <w:t>FDIC</w:t>
            </w:r>
            <w:r w:rsidRPr="00732248">
              <w:rPr>
                <w:rFonts w:asciiTheme="minorHAnsi" w:hAnsiTheme="minorHAnsi" w:cstheme="minorHAnsi"/>
                <w:color w:val="000000" w:themeColor="text1"/>
                <w:sz w:val="22"/>
                <w:szCs w:val="22"/>
              </w:rPr>
              <w:t xml:space="preserve"> </w:t>
            </w:r>
            <w:hyperlink r:id="rId9" w:history="1">
              <w:r w:rsidRPr="00732248">
                <w:rPr>
                  <w:rStyle w:val="Hyperlink"/>
                  <w:rFonts w:asciiTheme="minorHAnsi" w:hAnsiTheme="minorHAnsi" w:cstheme="minorHAnsi"/>
                  <w:sz w:val="22"/>
                  <w:szCs w:val="22"/>
                </w:rPr>
                <w:t>Consolidated Reports of Condition and Income for Fourth Quarter 2022</w:t>
              </w:r>
            </w:hyperlink>
            <w:r w:rsidRPr="00732248">
              <w:rPr>
                <w:rFonts w:asciiTheme="minorHAnsi" w:hAnsiTheme="minorHAnsi" w:cstheme="minorHAnsi"/>
                <w:color w:val="000000" w:themeColor="text1"/>
                <w:sz w:val="22"/>
                <w:szCs w:val="22"/>
              </w:rPr>
              <w:t xml:space="preserve"> (12.22.2022) - The attached materials pertain to the Consolidated Reports of Condition and Income (Call Report) for the December 31, 2022, report date and provide guidance on certain reporting issues.  This Financial Institution Letter and the attached Supplemental Instructions should be shared with the individual responsible for preparing the Call Report at your institution.  Please plan to complete as early as possible the preparation, editing, and review of your institution’s Call Report data and the submission of these data to the agencies’ Central Data Repository (CDR).  Starting your preparation early will help you identify and resolve any edit exceptions before the submission deadline.  If you later find that certain information needs to be revised, please make the appropriate changes to your Call Report </w:t>
            </w:r>
            <w:proofErr w:type="gramStart"/>
            <w:r w:rsidRPr="00732248">
              <w:rPr>
                <w:rFonts w:asciiTheme="minorHAnsi" w:hAnsiTheme="minorHAnsi" w:cstheme="minorHAnsi"/>
                <w:color w:val="000000" w:themeColor="text1"/>
                <w:sz w:val="22"/>
                <w:szCs w:val="22"/>
              </w:rPr>
              <w:t>data</w:t>
            </w:r>
            <w:proofErr w:type="gramEnd"/>
            <w:r w:rsidRPr="00732248">
              <w:rPr>
                <w:rFonts w:asciiTheme="minorHAnsi" w:hAnsiTheme="minorHAnsi" w:cstheme="minorHAnsi"/>
                <w:color w:val="000000" w:themeColor="text1"/>
                <w:sz w:val="22"/>
                <w:szCs w:val="22"/>
              </w:rPr>
              <w:t xml:space="preserve"> and promptly submit the revised data file to the CDR.</w:t>
            </w:r>
          </w:p>
          <w:p w14:paraId="46D5CD7D" w14:textId="77777777"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color w:val="000000" w:themeColor="text1"/>
                <w:sz w:val="22"/>
                <w:szCs w:val="22"/>
              </w:rPr>
              <w:t xml:space="preserve"> </w:t>
            </w:r>
          </w:p>
          <w:p w14:paraId="1338FCB8" w14:textId="77777777"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color w:val="000000" w:themeColor="text1"/>
                <w:sz w:val="22"/>
                <w:szCs w:val="22"/>
              </w:rPr>
              <w:t>Statement of Applicability:</w:t>
            </w:r>
          </w:p>
          <w:p w14:paraId="0C43DD30" w14:textId="77777777"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color w:val="000000" w:themeColor="text1"/>
                <w:sz w:val="22"/>
                <w:szCs w:val="22"/>
              </w:rPr>
              <w:t>This Financial Institution Letter (FIL) applies to all FDIC-insured financial institutions.</w:t>
            </w:r>
          </w:p>
          <w:p w14:paraId="228932B6" w14:textId="77777777"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color w:val="000000" w:themeColor="text1"/>
                <w:sz w:val="22"/>
                <w:szCs w:val="22"/>
              </w:rPr>
              <w:t xml:space="preserve"> </w:t>
            </w:r>
          </w:p>
          <w:p w14:paraId="046B3368" w14:textId="77777777"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color w:val="000000" w:themeColor="text1"/>
                <w:sz w:val="22"/>
                <w:szCs w:val="22"/>
              </w:rPr>
              <w:t>Distribution:</w:t>
            </w:r>
          </w:p>
          <w:p w14:paraId="1F9FD49B" w14:textId="77777777"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r w:rsidRPr="00732248">
              <w:rPr>
                <w:rFonts w:asciiTheme="minorHAnsi" w:hAnsiTheme="minorHAnsi" w:cstheme="minorHAnsi"/>
                <w:color w:val="000000" w:themeColor="text1"/>
                <w:sz w:val="22"/>
                <w:szCs w:val="22"/>
              </w:rPr>
              <w:t>FDIC-Insured Financial Institutions</w:t>
            </w:r>
          </w:p>
          <w:p w14:paraId="227B833A" w14:textId="77777777" w:rsidR="00732248" w:rsidRDefault="00732248" w:rsidP="00732248">
            <w:pPr>
              <w:pStyle w:val="NormalWeb"/>
              <w:shd w:val="clear" w:color="auto" w:fill="FFFFFF"/>
              <w:rPr>
                <w:rFonts w:asciiTheme="minorHAnsi" w:hAnsiTheme="minorHAnsi" w:cstheme="minorHAnsi"/>
                <w:color w:val="000000" w:themeColor="text1"/>
                <w:sz w:val="22"/>
                <w:szCs w:val="22"/>
              </w:rPr>
            </w:pPr>
          </w:p>
          <w:p w14:paraId="58D70617" w14:textId="17790812" w:rsidR="00732248" w:rsidRDefault="00732248" w:rsidP="00732248">
            <w:pPr>
              <w:rPr>
                <w:rFonts w:cstheme="minorHAnsi"/>
                <w:b/>
                <w:bCs/>
                <w:i/>
                <w:iCs/>
                <w:color w:val="002060"/>
              </w:rPr>
            </w:pPr>
            <w:r w:rsidRPr="002B4A9D">
              <w:rPr>
                <w:rFonts w:cstheme="minorHAnsi"/>
                <w:b/>
                <w:bCs/>
                <w:i/>
                <w:iCs/>
                <w:color w:val="002060"/>
              </w:rPr>
              <w:t xml:space="preserve">Comment: </w:t>
            </w:r>
            <w:r w:rsidR="000C258A">
              <w:rPr>
                <w:rFonts w:cstheme="minorHAnsi"/>
                <w:b/>
                <w:bCs/>
                <w:i/>
                <w:iCs/>
                <w:color w:val="002060"/>
              </w:rPr>
              <w:t xml:space="preserve">Share with the individuals that prepare your bank’s Call Report data. </w:t>
            </w:r>
          </w:p>
          <w:p w14:paraId="0FCA9A05" w14:textId="630719F4" w:rsidR="00732248" w:rsidRPr="00732248" w:rsidRDefault="00732248" w:rsidP="00732248">
            <w:pPr>
              <w:pStyle w:val="NormalWeb"/>
              <w:shd w:val="clear" w:color="auto" w:fill="FFFFFF"/>
              <w:rPr>
                <w:rFonts w:asciiTheme="minorHAnsi" w:hAnsiTheme="minorHAnsi" w:cstheme="minorHAnsi"/>
                <w:color w:val="000000" w:themeColor="text1"/>
                <w:sz w:val="22"/>
                <w:szCs w:val="22"/>
              </w:rPr>
            </w:pPr>
          </w:p>
        </w:tc>
      </w:tr>
      <w:tr w:rsidR="00732248" w:rsidRPr="001E0B8E" w14:paraId="0E1CF36A" w14:textId="77777777" w:rsidTr="00732248">
        <w:tc>
          <w:tcPr>
            <w:tcW w:w="985" w:type="dxa"/>
            <w:shd w:val="clear" w:color="auto" w:fill="auto"/>
          </w:tcPr>
          <w:p w14:paraId="44A7A356" w14:textId="77777777" w:rsidR="00732248" w:rsidRPr="001E0B8E" w:rsidRDefault="00732248" w:rsidP="007A5DE9">
            <w:pPr>
              <w:tabs>
                <w:tab w:val="left" w:pos="580"/>
              </w:tabs>
            </w:pPr>
          </w:p>
        </w:tc>
        <w:tc>
          <w:tcPr>
            <w:tcW w:w="8365" w:type="dxa"/>
          </w:tcPr>
          <w:p w14:paraId="6E31F8A6" w14:textId="77777777" w:rsidR="00732248" w:rsidRPr="00A061F4" w:rsidRDefault="00732248" w:rsidP="00A061F4">
            <w:pPr>
              <w:pStyle w:val="NormalWeb"/>
              <w:shd w:val="clear" w:color="auto" w:fill="FFFFFF"/>
              <w:rPr>
                <w:rFonts w:asciiTheme="minorHAnsi" w:hAnsiTheme="minorHAnsi" w:cstheme="minorHAnsi"/>
                <w:b/>
                <w:bCs/>
                <w:color w:val="000000" w:themeColor="text1"/>
                <w:sz w:val="22"/>
                <w:szCs w:val="22"/>
              </w:rPr>
            </w:pPr>
          </w:p>
        </w:tc>
      </w:tr>
      <w:tr w:rsidR="00A061F4" w:rsidRPr="001E0B8E" w14:paraId="259C1516" w14:textId="77777777" w:rsidTr="00211348">
        <w:tc>
          <w:tcPr>
            <w:tcW w:w="985" w:type="dxa"/>
            <w:shd w:val="clear" w:color="auto" w:fill="00B050"/>
          </w:tcPr>
          <w:p w14:paraId="0CEC114C" w14:textId="77777777" w:rsidR="00A061F4" w:rsidRPr="001E0B8E" w:rsidRDefault="00A061F4" w:rsidP="007A5DE9">
            <w:pPr>
              <w:tabs>
                <w:tab w:val="left" w:pos="580"/>
              </w:tabs>
            </w:pPr>
          </w:p>
        </w:tc>
        <w:tc>
          <w:tcPr>
            <w:tcW w:w="8365" w:type="dxa"/>
          </w:tcPr>
          <w:p w14:paraId="204C116F" w14:textId="30B1528F" w:rsidR="00A061F4" w:rsidRPr="00A061F4" w:rsidRDefault="00A061F4" w:rsidP="00A061F4">
            <w:pPr>
              <w:pStyle w:val="NormalWeb"/>
              <w:shd w:val="clear" w:color="auto" w:fill="FFFFFF"/>
              <w:rPr>
                <w:rFonts w:asciiTheme="minorHAnsi" w:hAnsiTheme="minorHAnsi" w:cstheme="minorHAnsi"/>
                <w:color w:val="000000" w:themeColor="text1"/>
                <w:sz w:val="22"/>
                <w:szCs w:val="22"/>
              </w:rPr>
            </w:pPr>
            <w:r w:rsidRPr="00A061F4">
              <w:rPr>
                <w:rFonts w:asciiTheme="minorHAnsi" w:hAnsiTheme="minorHAnsi" w:cstheme="minorHAnsi"/>
                <w:b/>
                <w:bCs/>
                <w:color w:val="000000" w:themeColor="text1"/>
                <w:sz w:val="22"/>
                <w:szCs w:val="22"/>
              </w:rPr>
              <w:t>FRB</w:t>
            </w:r>
            <w:r w:rsidRPr="00A061F4">
              <w:rPr>
                <w:rFonts w:asciiTheme="minorHAnsi" w:hAnsiTheme="minorHAnsi" w:cstheme="minorHAnsi"/>
                <w:color w:val="000000" w:themeColor="text1"/>
                <w:sz w:val="22"/>
                <w:szCs w:val="22"/>
              </w:rPr>
              <w:t xml:space="preserve"> </w:t>
            </w:r>
            <w:hyperlink r:id="rId10" w:history="1">
              <w:r w:rsidRPr="00A061F4">
                <w:rPr>
                  <w:rStyle w:val="Hyperlink"/>
                  <w:rFonts w:asciiTheme="minorHAnsi" w:hAnsiTheme="minorHAnsi" w:cstheme="minorHAnsi"/>
                  <w:sz w:val="22"/>
                  <w:szCs w:val="22"/>
                </w:rPr>
                <w:t>Issues Technical Updates to its Policy Governing The Provision of Intraday Credit in Accounts at Federal Reserve Banks</w:t>
              </w:r>
            </w:hyperlink>
            <w:r>
              <w:rPr>
                <w:rFonts w:asciiTheme="minorHAnsi" w:hAnsiTheme="minorHAnsi" w:cstheme="minorHAnsi"/>
                <w:color w:val="000000" w:themeColor="text1"/>
                <w:sz w:val="22"/>
                <w:szCs w:val="22"/>
              </w:rPr>
              <w:t xml:space="preserve"> (12.21.2022) - </w:t>
            </w:r>
            <w:r w:rsidRPr="00A061F4">
              <w:rPr>
                <w:rFonts w:asciiTheme="minorHAnsi" w:hAnsiTheme="minorHAnsi" w:cstheme="minorHAnsi"/>
                <w:color w:val="000000" w:themeColor="text1"/>
                <w:sz w:val="22"/>
                <w:szCs w:val="22"/>
              </w:rPr>
              <w:t>The Federal Reserve Board on Wednesday issued technical updates to its policy governing the provision of intraday credit in accounts at the Federal Reserve Banks.</w:t>
            </w:r>
          </w:p>
          <w:p w14:paraId="2145A472" w14:textId="77777777" w:rsidR="00A061F4" w:rsidRPr="00A061F4" w:rsidRDefault="00A061F4" w:rsidP="00A061F4">
            <w:pPr>
              <w:pStyle w:val="NormalWeb"/>
              <w:shd w:val="clear" w:color="auto" w:fill="FFFFFF"/>
              <w:rPr>
                <w:rFonts w:asciiTheme="minorHAnsi" w:hAnsiTheme="minorHAnsi" w:cstheme="minorHAnsi"/>
                <w:color w:val="000000" w:themeColor="text1"/>
                <w:sz w:val="22"/>
                <w:szCs w:val="22"/>
              </w:rPr>
            </w:pPr>
          </w:p>
          <w:p w14:paraId="07C26A15" w14:textId="77777777" w:rsidR="00A061F4" w:rsidRPr="00A061F4" w:rsidRDefault="00A061F4" w:rsidP="00A061F4">
            <w:pPr>
              <w:pStyle w:val="NormalWeb"/>
              <w:shd w:val="clear" w:color="auto" w:fill="FFFFFF"/>
              <w:rPr>
                <w:rFonts w:asciiTheme="minorHAnsi" w:hAnsiTheme="minorHAnsi" w:cstheme="minorHAnsi"/>
                <w:color w:val="000000" w:themeColor="text1"/>
                <w:sz w:val="22"/>
                <w:szCs w:val="22"/>
              </w:rPr>
            </w:pPr>
            <w:r w:rsidRPr="00A061F4">
              <w:rPr>
                <w:rFonts w:asciiTheme="minorHAnsi" w:hAnsiTheme="minorHAnsi" w:cstheme="minorHAnsi"/>
                <w:color w:val="000000" w:themeColor="text1"/>
                <w:sz w:val="22"/>
                <w:szCs w:val="22"/>
              </w:rPr>
              <w:t>In particular, the updates include a new rule establishing settlement times for debits and credits to institutions' Federal Reserve accounts for certain transactions. The updates streamline the settlement process and shorten the time needed for debits and credits to settle. More information about the relevant transactions can be found here.</w:t>
            </w:r>
          </w:p>
          <w:p w14:paraId="486C51BD" w14:textId="77777777" w:rsidR="00A061F4" w:rsidRPr="00A061F4" w:rsidRDefault="00A061F4" w:rsidP="00A061F4">
            <w:pPr>
              <w:pStyle w:val="NormalWeb"/>
              <w:shd w:val="clear" w:color="auto" w:fill="FFFFFF"/>
              <w:rPr>
                <w:rFonts w:asciiTheme="minorHAnsi" w:hAnsiTheme="minorHAnsi" w:cstheme="minorHAnsi"/>
                <w:color w:val="000000" w:themeColor="text1"/>
                <w:sz w:val="22"/>
                <w:szCs w:val="22"/>
              </w:rPr>
            </w:pPr>
          </w:p>
          <w:p w14:paraId="69FF75B2" w14:textId="77777777" w:rsidR="00A061F4" w:rsidRDefault="00A061F4" w:rsidP="00A061F4">
            <w:pPr>
              <w:pStyle w:val="NormalWeb"/>
              <w:shd w:val="clear" w:color="auto" w:fill="FFFFFF"/>
              <w:rPr>
                <w:rFonts w:asciiTheme="minorHAnsi" w:hAnsiTheme="minorHAnsi" w:cstheme="minorHAnsi"/>
                <w:color w:val="000000" w:themeColor="text1"/>
                <w:sz w:val="22"/>
                <w:szCs w:val="22"/>
              </w:rPr>
            </w:pPr>
            <w:r w:rsidRPr="00A061F4">
              <w:rPr>
                <w:rFonts w:asciiTheme="minorHAnsi" w:hAnsiTheme="minorHAnsi" w:cstheme="minorHAnsi"/>
                <w:color w:val="000000" w:themeColor="text1"/>
                <w:sz w:val="22"/>
                <w:szCs w:val="22"/>
              </w:rPr>
              <w:t>The updates are effective on January 30, 2023.</w:t>
            </w:r>
          </w:p>
          <w:p w14:paraId="576054A5" w14:textId="08530A94" w:rsidR="00A061F4" w:rsidRPr="00A061F4" w:rsidRDefault="00A061F4" w:rsidP="000C258A">
            <w:pPr>
              <w:rPr>
                <w:rFonts w:cstheme="minorHAnsi"/>
                <w:color w:val="000000" w:themeColor="text1"/>
              </w:rPr>
            </w:pPr>
          </w:p>
        </w:tc>
      </w:tr>
      <w:tr w:rsidR="00A061F4" w:rsidRPr="001E0B8E" w14:paraId="56843DDC" w14:textId="77777777" w:rsidTr="00A061F4">
        <w:tc>
          <w:tcPr>
            <w:tcW w:w="985" w:type="dxa"/>
            <w:shd w:val="clear" w:color="auto" w:fill="auto"/>
          </w:tcPr>
          <w:p w14:paraId="6074F469" w14:textId="77777777" w:rsidR="00A061F4" w:rsidRPr="001E0B8E" w:rsidRDefault="00A061F4" w:rsidP="007A5DE9">
            <w:pPr>
              <w:tabs>
                <w:tab w:val="left" w:pos="580"/>
              </w:tabs>
            </w:pPr>
          </w:p>
        </w:tc>
        <w:tc>
          <w:tcPr>
            <w:tcW w:w="8365" w:type="dxa"/>
          </w:tcPr>
          <w:p w14:paraId="01D153B0" w14:textId="77777777" w:rsidR="00A061F4" w:rsidRPr="0072578B" w:rsidRDefault="00A061F4" w:rsidP="0072578B">
            <w:pPr>
              <w:pStyle w:val="NormalWeb"/>
              <w:shd w:val="clear" w:color="auto" w:fill="FFFFFF"/>
              <w:rPr>
                <w:rFonts w:asciiTheme="minorHAnsi" w:hAnsiTheme="minorHAnsi" w:cstheme="minorHAnsi"/>
                <w:b/>
                <w:bCs/>
                <w:color w:val="000000" w:themeColor="text1"/>
                <w:sz w:val="22"/>
                <w:szCs w:val="22"/>
              </w:rPr>
            </w:pPr>
          </w:p>
        </w:tc>
      </w:tr>
      <w:tr w:rsidR="00211348" w:rsidRPr="001E0B8E" w14:paraId="1FB8D58E" w14:textId="77777777" w:rsidTr="00211348">
        <w:tc>
          <w:tcPr>
            <w:tcW w:w="985" w:type="dxa"/>
            <w:shd w:val="clear" w:color="auto" w:fill="00B050"/>
          </w:tcPr>
          <w:p w14:paraId="1667E31D" w14:textId="77777777" w:rsidR="00211348" w:rsidRPr="001E0B8E" w:rsidRDefault="00211348" w:rsidP="007A5DE9">
            <w:pPr>
              <w:tabs>
                <w:tab w:val="left" w:pos="580"/>
              </w:tabs>
            </w:pPr>
          </w:p>
        </w:tc>
        <w:tc>
          <w:tcPr>
            <w:tcW w:w="8365" w:type="dxa"/>
          </w:tcPr>
          <w:p w14:paraId="3776A89F" w14:textId="479BF136" w:rsidR="0072578B" w:rsidRPr="0072578B" w:rsidRDefault="0072578B" w:rsidP="0072578B">
            <w:pPr>
              <w:pStyle w:val="NormalWeb"/>
              <w:shd w:val="clear" w:color="auto" w:fill="FFFFFF"/>
              <w:rPr>
                <w:rFonts w:asciiTheme="minorHAnsi" w:hAnsiTheme="minorHAnsi" w:cstheme="minorHAnsi"/>
                <w:color w:val="000000" w:themeColor="text1"/>
                <w:sz w:val="22"/>
                <w:szCs w:val="22"/>
              </w:rPr>
            </w:pPr>
            <w:r w:rsidRPr="0072578B">
              <w:rPr>
                <w:rFonts w:asciiTheme="minorHAnsi" w:hAnsiTheme="minorHAnsi" w:cstheme="minorHAnsi"/>
                <w:b/>
                <w:bCs/>
                <w:color w:val="000000" w:themeColor="text1"/>
                <w:sz w:val="22"/>
                <w:szCs w:val="22"/>
              </w:rPr>
              <w:t>CSBS</w:t>
            </w:r>
            <w:r>
              <w:rPr>
                <w:rFonts w:asciiTheme="minorHAnsi" w:hAnsiTheme="minorHAnsi" w:cstheme="minorHAnsi"/>
                <w:color w:val="000000" w:themeColor="text1"/>
                <w:sz w:val="22"/>
                <w:szCs w:val="22"/>
              </w:rPr>
              <w:t xml:space="preserve"> </w:t>
            </w:r>
            <w:hyperlink r:id="rId11" w:history="1">
              <w:r w:rsidRPr="0072578B">
                <w:rPr>
                  <w:rStyle w:val="Hyperlink"/>
                  <w:rFonts w:asciiTheme="minorHAnsi" w:hAnsiTheme="minorHAnsi" w:cstheme="minorHAnsi"/>
                  <w:sz w:val="22"/>
                  <w:szCs w:val="22"/>
                </w:rPr>
                <w:t>Statement on FDIC Board Appointees</w:t>
              </w:r>
            </w:hyperlink>
            <w:r>
              <w:rPr>
                <w:rFonts w:asciiTheme="minorHAnsi" w:hAnsiTheme="minorHAnsi" w:cstheme="minorHAnsi"/>
                <w:color w:val="000000" w:themeColor="text1"/>
                <w:sz w:val="22"/>
                <w:szCs w:val="22"/>
              </w:rPr>
              <w:t xml:space="preserve"> (12</w:t>
            </w:r>
            <w:r w:rsidR="004304C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20.2022) - </w:t>
            </w:r>
            <w:r w:rsidRPr="0072578B">
              <w:rPr>
                <w:rFonts w:asciiTheme="minorHAnsi" w:hAnsiTheme="minorHAnsi" w:cstheme="minorHAnsi"/>
                <w:color w:val="000000" w:themeColor="text1"/>
                <w:sz w:val="22"/>
                <w:szCs w:val="22"/>
              </w:rPr>
              <w:t xml:space="preserve">CSBS President and CEO Jim Cooper Statement on New FDIC Board Appointees: “On behalf of state bank regulators, I congratulate Martin Gruenberg, Travis Hill and Jonathan McKernan on their appointment to the FDIC Board. Now that the board is complete, I invite all five members to meet with state regulators on ways we can strengthen our partnership and shared interests. </w:t>
            </w:r>
          </w:p>
          <w:p w14:paraId="5E2FA8F0" w14:textId="77777777" w:rsidR="0072578B" w:rsidRPr="0072578B" w:rsidRDefault="0072578B" w:rsidP="0072578B">
            <w:pPr>
              <w:pStyle w:val="NormalWeb"/>
              <w:shd w:val="clear" w:color="auto" w:fill="FFFFFF"/>
              <w:rPr>
                <w:rFonts w:asciiTheme="minorHAnsi" w:hAnsiTheme="minorHAnsi" w:cstheme="minorHAnsi"/>
                <w:color w:val="000000" w:themeColor="text1"/>
                <w:sz w:val="22"/>
                <w:szCs w:val="22"/>
              </w:rPr>
            </w:pPr>
          </w:p>
          <w:p w14:paraId="6570DC79" w14:textId="77777777" w:rsidR="0072578B" w:rsidRPr="0072578B" w:rsidRDefault="0072578B" w:rsidP="0072578B">
            <w:pPr>
              <w:pStyle w:val="NormalWeb"/>
              <w:shd w:val="clear" w:color="auto" w:fill="FFFFFF"/>
              <w:rPr>
                <w:rFonts w:asciiTheme="minorHAnsi" w:hAnsiTheme="minorHAnsi" w:cstheme="minorHAnsi"/>
                <w:color w:val="000000" w:themeColor="text1"/>
                <w:sz w:val="22"/>
                <w:szCs w:val="22"/>
              </w:rPr>
            </w:pPr>
            <w:r w:rsidRPr="0072578B">
              <w:rPr>
                <w:rFonts w:asciiTheme="minorHAnsi" w:hAnsiTheme="minorHAnsi" w:cstheme="minorHAnsi"/>
                <w:color w:val="000000" w:themeColor="text1"/>
                <w:sz w:val="22"/>
                <w:szCs w:val="22"/>
              </w:rPr>
              <w:t xml:space="preserve">State regulators charter and supervise 79% of all U.S. banks. They have the unique experience of being close to the citizens, </w:t>
            </w:r>
            <w:proofErr w:type="gramStart"/>
            <w:r w:rsidRPr="0072578B">
              <w:rPr>
                <w:rFonts w:asciiTheme="minorHAnsi" w:hAnsiTheme="minorHAnsi" w:cstheme="minorHAnsi"/>
                <w:color w:val="000000" w:themeColor="text1"/>
                <w:sz w:val="22"/>
                <w:szCs w:val="22"/>
              </w:rPr>
              <w:t>institutions</w:t>
            </w:r>
            <w:proofErr w:type="gramEnd"/>
            <w:r w:rsidRPr="0072578B">
              <w:rPr>
                <w:rFonts w:asciiTheme="minorHAnsi" w:hAnsiTheme="minorHAnsi" w:cstheme="minorHAnsi"/>
                <w:color w:val="000000" w:themeColor="text1"/>
                <w:sz w:val="22"/>
                <w:szCs w:val="22"/>
              </w:rPr>
              <w:t xml:space="preserve"> and the needs of their local economies in the states in which they serve. </w:t>
            </w:r>
          </w:p>
          <w:p w14:paraId="35C6ED44" w14:textId="77777777" w:rsidR="0072578B" w:rsidRPr="0072578B" w:rsidRDefault="0072578B" w:rsidP="0072578B">
            <w:pPr>
              <w:pStyle w:val="NormalWeb"/>
              <w:shd w:val="clear" w:color="auto" w:fill="FFFFFF"/>
              <w:rPr>
                <w:rFonts w:asciiTheme="minorHAnsi" w:hAnsiTheme="minorHAnsi" w:cstheme="minorHAnsi"/>
                <w:color w:val="000000" w:themeColor="text1"/>
                <w:sz w:val="22"/>
                <w:szCs w:val="22"/>
              </w:rPr>
            </w:pPr>
          </w:p>
          <w:p w14:paraId="57A5192F" w14:textId="77777777" w:rsidR="00211348" w:rsidRDefault="0072578B" w:rsidP="0072578B">
            <w:pPr>
              <w:pStyle w:val="NormalWeb"/>
              <w:shd w:val="clear" w:color="auto" w:fill="FFFFFF"/>
              <w:rPr>
                <w:rFonts w:asciiTheme="minorHAnsi" w:hAnsiTheme="minorHAnsi" w:cstheme="minorHAnsi"/>
                <w:color w:val="000000" w:themeColor="text1"/>
                <w:sz w:val="22"/>
                <w:szCs w:val="22"/>
              </w:rPr>
            </w:pPr>
            <w:r w:rsidRPr="0072578B">
              <w:rPr>
                <w:rFonts w:asciiTheme="minorHAnsi" w:hAnsiTheme="minorHAnsi" w:cstheme="minorHAnsi"/>
                <w:color w:val="000000" w:themeColor="text1"/>
                <w:sz w:val="22"/>
                <w:szCs w:val="22"/>
              </w:rPr>
              <w:t>We look forward to working with the FDIC Board to ensure and promote the diversity and balance inherent in the nation’s dual banking system.”</w:t>
            </w:r>
          </w:p>
          <w:p w14:paraId="5C0D7D4C" w14:textId="77777777" w:rsidR="0072578B" w:rsidRDefault="0072578B" w:rsidP="0072578B">
            <w:pPr>
              <w:rPr>
                <w:rFonts w:cstheme="minorHAnsi"/>
              </w:rPr>
            </w:pPr>
          </w:p>
          <w:p w14:paraId="0C8CC1E0" w14:textId="2499926F" w:rsidR="0072578B" w:rsidRDefault="0072578B" w:rsidP="0072578B">
            <w:pPr>
              <w:rPr>
                <w:rFonts w:cstheme="minorHAnsi"/>
                <w:b/>
                <w:bCs/>
                <w:i/>
                <w:iCs/>
                <w:color w:val="002060"/>
              </w:rPr>
            </w:pPr>
            <w:r w:rsidRPr="002B4A9D">
              <w:rPr>
                <w:rFonts w:cstheme="minorHAnsi"/>
                <w:b/>
                <w:bCs/>
                <w:i/>
                <w:iCs/>
                <w:color w:val="002060"/>
              </w:rPr>
              <w:t xml:space="preserve">Comment: </w:t>
            </w:r>
            <w:r w:rsidR="00B30384">
              <w:rPr>
                <w:rFonts w:cstheme="minorHAnsi"/>
                <w:b/>
                <w:bCs/>
                <w:i/>
                <w:iCs/>
                <w:color w:val="002060"/>
              </w:rPr>
              <w:t>Disappointing that not a single member of the</w:t>
            </w:r>
            <w:r w:rsidR="00B30384" w:rsidRPr="00B30384">
              <w:rPr>
                <w:rFonts w:cstheme="minorHAnsi"/>
                <w:b/>
                <w:bCs/>
                <w:i/>
                <w:iCs/>
                <w:color w:val="002060"/>
              </w:rPr>
              <w:t xml:space="preserve"> FDIC Board will meet the requirement for state bank supervisory experience</w:t>
            </w:r>
            <w:r w:rsidR="00B30384">
              <w:rPr>
                <w:rFonts w:cstheme="minorHAnsi"/>
                <w:b/>
                <w:bCs/>
                <w:i/>
                <w:iCs/>
                <w:color w:val="002060"/>
              </w:rPr>
              <w:t xml:space="preserve">.  We should expect better representation. </w:t>
            </w:r>
          </w:p>
          <w:p w14:paraId="2A80869C" w14:textId="73C3F484" w:rsidR="0072578B" w:rsidRPr="00211348" w:rsidRDefault="0072578B" w:rsidP="0072578B">
            <w:pPr>
              <w:pStyle w:val="NormalWeb"/>
              <w:shd w:val="clear" w:color="auto" w:fill="FFFFFF"/>
              <w:rPr>
                <w:rFonts w:asciiTheme="minorHAnsi" w:hAnsiTheme="minorHAnsi" w:cstheme="minorHAnsi"/>
                <w:color w:val="000000" w:themeColor="text1"/>
                <w:sz w:val="22"/>
                <w:szCs w:val="22"/>
              </w:rPr>
            </w:pPr>
          </w:p>
        </w:tc>
      </w:tr>
      <w:bookmarkEnd w:id="23"/>
    </w:tbl>
    <w:p w14:paraId="6A18DF6F" w14:textId="79C1E0E1" w:rsidR="001D488F" w:rsidRPr="001E0B8E" w:rsidRDefault="001D488F"/>
    <w:p w14:paraId="02F04456" w14:textId="72C15372" w:rsidR="00AC1F42" w:rsidRPr="001E0B8E" w:rsidRDefault="00AC1F42" w:rsidP="00AC1F42">
      <w:pPr>
        <w:rPr>
          <w:rFonts w:ascii="Verdana" w:hAnsi="Verdana"/>
          <w:b/>
          <w:bCs/>
        </w:rPr>
      </w:pPr>
      <w:r w:rsidRPr="001E0B8E">
        <w:rPr>
          <w:rFonts w:ascii="Verdana" w:hAnsi="Verdana"/>
          <w:b/>
          <w:bCs/>
        </w:rPr>
        <w:t>BSA / AML</w:t>
      </w:r>
    </w:p>
    <w:tbl>
      <w:tblPr>
        <w:tblStyle w:val="TableGrid"/>
        <w:tblW w:w="0" w:type="auto"/>
        <w:tblLook w:val="04A0" w:firstRow="1" w:lastRow="0" w:firstColumn="1" w:lastColumn="0" w:noHBand="0" w:noVBand="1"/>
      </w:tblPr>
      <w:tblGrid>
        <w:gridCol w:w="985"/>
        <w:gridCol w:w="8365"/>
      </w:tblGrid>
      <w:tr w:rsidR="00BE5D3F" w:rsidRPr="001E0B8E" w14:paraId="632E24FC" w14:textId="77777777" w:rsidTr="00B451AA">
        <w:tc>
          <w:tcPr>
            <w:tcW w:w="985" w:type="dxa"/>
            <w:shd w:val="clear" w:color="auto" w:fill="00B050"/>
          </w:tcPr>
          <w:p w14:paraId="41059ADD" w14:textId="77777777" w:rsidR="00BE5D3F" w:rsidRPr="001E0B8E" w:rsidRDefault="00BE5D3F" w:rsidP="00215448">
            <w:pPr>
              <w:tabs>
                <w:tab w:val="left" w:pos="580"/>
              </w:tabs>
            </w:pPr>
          </w:p>
        </w:tc>
        <w:tc>
          <w:tcPr>
            <w:tcW w:w="8365" w:type="dxa"/>
          </w:tcPr>
          <w:p w14:paraId="1A1202AE" w14:textId="7D6B241D" w:rsidR="00262CF6" w:rsidRPr="00260542" w:rsidRDefault="00262CF6" w:rsidP="00262CF6">
            <w:pPr>
              <w:rPr>
                <w:rFonts w:cstheme="minorHAnsi"/>
              </w:rPr>
            </w:pPr>
            <w:r w:rsidRPr="00260542">
              <w:rPr>
                <w:rFonts w:cstheme="minorHAnsi"/>
                <w:b/>
                <w:bCs/>
              </w:rPr>
              <w:t>FinCEN</w:t>
            </w:r>
            <w:r w:rsidRPr="00260542">
              <w:rPr>
                <w:rFonts w:cstheme="minorHAnsi"/>
              </w:rPr>
              <w:t xml:space="preserve"> </w:t>
            </w:r>
            <w:hyperlink r:id="rId12" w:history="1">
              <w:r w:rsidRPr="00260542">
                <w:rPr>
                  <w:rStyle w:val="Hyperlink"/>
                  <w:rFonts w:cstheme="minorHAnsi"/>
                </w:rPr>
                <w:t>Issues Notice of Proposed Rulemaking Regarding Access to Beneficial Ownership Information and Related Safeguards</w:t>
              </w:r>
            </w:hyperlink>
            <w:r>
              <w:rPr>
                <w:rFonts w:cstheme="minorHAnsi"/>
              </w:rPr>
              <w:t xml:space="preserve"> (12.15.2022) - </w:t>
            </w:r>
            <w:r w:rsidRPr="00260542">
              <w:rPr>
                <w:rFonts w:cstheme="minorHAnsi"/>
              </w:rPr>
              <w:t>WASHINGTON—The Financial Crimes Enforcement Network (FinCEN) issued a Notice of Proposed Rulemaking (NPRM) that would implement provisions of the Corporate Transparency Act (CTA) that govern the access to and protection of beneficial ownership information. This NPRM proposes regulations that would govern the circumstances under which such information may be disclosed to Federal agencies; state, local, tribal, and foreign governments; and financial institutions, and how it must be protected.</w:t>
            </w:r>
          </w:p>
          <w:p w14:paraId="3FFD8841" w14:textId="77777777" w:rsidR="00262CF6" w:rsidRPr="00260542" w:rsidRDefault="00262CF6" w:rsidP="00262CF6">
            <w:pPr>
              <w:rPr>
                <w:rFonts w:cstheme="minorHAnsi"/>
              </w:rPr>
            </w:pPr>
          </w:p>
          <w:p w14:paraId="7C61048B" w14:textId="77777777" w:rsidR="00262CF6" w:rsidRPr="00260542" w:rsidRDefault="00262CF6" w:rsidP="00262CF6">
            <w:pPr>
              <w:rPr>
                <w:rFonts w:cstheme="minorHAnsi"/>
              </w:rPr>
            </w:pPr>
            <w:r w:rsidRPr="00260542">
              <w:rPr>
                <w:rFonts w:cstheme="minorHAnsi"/>
              </w:rPr>
              <w:t xml:space="preserve">The proposed regulations specify how government officials would access beneficial ownership information </w:t>
            </w:r>
            <w:proofErr w:type="gramStart"/>
            <w:r w:rsidRPr="00260542">
              <w:rPr>
                <w:rFonts w:cstheme="minorHAnsi"/>
              </w:rPr>
              <w:t>in order to</w:t>
            </w:r>
            <w:proofErr w:type="gramEnd"/>
            <w:r w:rsidRPr="00260542">
              <w:rPr>
                <w:rFonts w:cstheme="minorHAnsi"/>
              </w:rPr>
              <w:t xml:space="preserve"> support law enforcement, national security, and intelligence activities. They also describe how certain financial </w:t>
            </w:r>
            <w:proofErr w:type="gramStart"/>
            <w:r w:rsidRPr="00260542">
              <w:rPr>
                <w:rFonts w:cstheme="minorHAnsi"/>
              </w:rPr>
              <w:t>institutions</w:t>
            </w:r>
            <w:proofErr w:type="gramEnd"/>
            <w:r w:rsidRPr="00260542">
              <w:rPr>
                <w:rFonts w:cstheme="minorHAnsi"/>
              </w:rPr>
              <w:t xml:space="preserve"> and their regulators would access such information in order to fulfill customer due diligence requirements and conduct supervision. The proposed rule also sets forth high standards for protecting this sensitive information consistent with the goals and requirements of the CTA. The NPRM also proposes amendments to the final reporting rule to specify when reporting companies may report FinCEN identifiers associated with entities.</w:t>
            </w:r>
          </w:p>
          <w:p w14:paraId="30F84E05" w14:textId="77777777" w:rsidR="00262CF6" w:rsidRPr="00260542" w:rsidRDefault="00262CF6" w:rsidP="00262CF6">
            <w:pPr>
              <w:rPr>
                <w:rFonts w:cstheme="minorHAnsi"/>
              </w:rPr>
            </w:pPr>
          </w:p>
          <w:p w14:paraId="40D5E3AB" w14:textId="77777777" w:rsidR="00262CF6" w:rsidRPr="00260542" w:rsidRDefault="00262CF6" w:rsidP="00262CF6">
            <w:pPr>
              <w:rPr>
                <w:rFonts w:cstheme="minorHAnsi"/>
              </w:rPr>
            </w:pPr>
            <w:r w:rsidRPr="00260542">
              <w:rPr>
                <w:rFonts w:cstheme="minorHAnsi"/>
              </w:rPr>
              <w:lastRenderedPageBreak/>
              <w:t xml:space="preserve">“The beneficial ownership information reporting rule finalized earlier this year is a major step forward in unmasking shell companies and protecting the U.S. financial system from abuse by money launderers, drug traffickers, sanctioned oligarchs, and other criminals,” said FinCEN Acting Director </w:t>
            </w:r>
            <w:proofErr w:type="spellStart"/>
            <w:r w:rsidRPr="00260542">
              <w:rPr>
                <w:rFonts w:cstheme="minorHAnsi"/>
              </w:rPr>
              <w:t>Himamauli</w:t>
            </w:r>
            <w:proofErr w:type="spellEnd"/>
            <w:r w:rsidRPr="00260542">
              <w:rPr>
                <w:rFonts w:cstheme="minorHAnsi"/>
              </w:rPr>
              <w:t xml:space="preserve"> Das. “In this next step, the proposed rule would provide the highest standards of security and confidentiality while ensuring that the new beneficial ownership database is highly useful to law enforcement agencies in its efforts to combat financial crime. As we drive toward full implementation of the Corporate Transparency Act, we move closer to exposing criminals, corrupt actors, and anyone trying to hide ill-gotten gains in the United States.”</w:t>
            </w:r>
          </w:p>
          <w:p w14:paraId="688BE665" w14:textId="77777777" w:rsidR="00262CF6" w:rsidRPr="00260542" w:rsidRDefault="00262CF6" w:rsidP="00262CF6">
            <w:pPr>
              <w:rPr>
                <w:rFonts w:cstheme="minorHAnsi"/>
              </w:rPr>
            </w:pPr>
          </w:p>
          <w:p w14:paraId="5A129146" w14:textId="77777777" w:rsidR="00262CF6" w:rsidRPr="00260542" w:rsidRDefault="00262CF6" w:rsidP="00262CF6">
            <w:pPr>
              <w:rPr>
                <w:rFonts w:cstheme="minorHAnsi"/>
              </w:rPr>
            </w:pPr>
            <w:r w:rsidRPr="00260542">
              <w:rPr>
                <w:rFonts w:cstheme="minorHAnsi"/>
              </w:rPr>
              <w:t>This NPRM follows the final reporting rule that FinCEN issued on September 30, 2022, requiring most corporations, limited liability companies, and other similar entities created in or registered to do business in the United States to report information about their beneficial owners to FinCEN. In accordance with the CTA’s requirements, FinCEN’s proposal limits access to beneficial ownership information to Federal agencies engaged in national security, intelligence, or law enforcement activities; state, local, and Tribal law enforcement agencies with court authorization; financial institutions with customer due diligence requirements and regulators supervising them for compliance with such requirements; foreign law enforcement agencies, prosecutors, judges, and other agencies that meet specific criteria; and Treasury officers and employees under certain circumstances. FinCEN further proposes to subject each category of authorized recipients to security and confidentiality protocols that align with the scope of the access and use provisions.</w:t>
            </w:r>
          </w:p>
          <w:p w14:paraId="155C0971" w14:textId="77777777" w:rsidR="00262CF6" w:rsidRPr="00260542" w:rsidRDefault="00262CF6" w:rsidP="00262CF6">
            <w:pPr>
              <w:rPr>
                <w:rFonts w:cstheme="minorHAnsi"/>
              </w:rPr>
            </w:pPr>
          </w:p>
          <w:p w14:paraId="06E2F3D2" w14:textId="77777777" w:rsidR="00262CF6" w:rsidRPr="00260542" w:rsidRDefault="00262CF6" w:rsidP="00262CF6">
            <w:pPr>
              <w:rPr>
                <w:rFonts w:cstheme="minorHAnsi"/>
              </w:rPr>
            </w:pPr>
            <w:r w:rsidRPr="00260542">
              <w:rPr>
                <w:rFonts w:cstheme="minorHAnsi"/>
              </w:rPr>
              <w:t>FinCEN strongly encourages all interested parties to submit comments on its proposals. Written comments on the NPRM should be submitted within 60 days following publication in the Federal Register.</w:t>
            </w:r>
          </w:p>
          <w:p w14:paraId="4BB06281" w14:textId="77777777" w:rsidR="00262CF6" w:rsidRPr="00260542" w:rsidRDefault="00262CF6" w:rsidP="00262CF6">
            <w:pPr>
              <w:rPr>
                <w:rFonts w:cstheme="minorHAnsi"/>
              </w:rPr>
            </w:pPr>
          </w:p>
          <w:p w14:paraId="48BFD6F0" w14:textId="77777777" w:rsidR="00262CF6" w:rsidRDefault="00000000" w:rsidP="00262CF6">
            <w:pPr>
              <w:rPr>
                <w:rFonts w:cstheme="minorHAnsi"/>
              </w:rPr>
            </w:pPr>
            <w:hyperlink r:id="rId13" w:history="1">
              <w:r w:rsidR="00262CF6" w:rsidRPr="00260542">
                <w:rPr>
                  <w:rStyle w:val="Hyperlink"/>
                  <w:rFonts w:cstheme="minorHAnsi"/>
                </w:rPr>
                <w:t>NPRM Fact Sheet</w:t>
              </w:r>
            </w:hyperlink>
          </w:p>
          <w:p w14:paraId="02A59A7F" w14:textId="77777777" w:rsidR="00262CF6" w:rsidRDefault="00262CF6" w:rsidP="00262CF6">
            <w:pPr>
              <w:rPr>
                <w:rFonts w:cstheme="minorHAnsi"/>
              </w:rPr>
            </w:pPr>
          </w:p>
          <w:p w14:paraId="127615C8" w14:textId="351AE2EB" w:rsidR="0045458D" w:rsidRDefault="00262CF6" w:rsidP="00262CF6">
            <w:pPr>
              <w:shd w:val="clear" w:color="auto" w:fill="FFFFFF"/>
              <w:textAlignment w:val="baseline"/>
              <w:rPr>
                <w:rFonts w:cstheme="minorHAnsi"/>
                <w:b/>
                <w:bCs/>
                <w:i/>
                <w:iCs/>
                <w:color w:val="002060"/>
              </w:rPr>
            </w:pPr>
            <w:r w:rsidRPr="002B4A9D">
              <w:rPr>
                <w:rFonts w:cstheme="minorHAnsi"/>
                <w:b/>
                <w:bCs/>
                <w:i/>
                <w:iCs/>
                <w:color w:val="002060"/>
              </w:rPr>
              <w:t xml:space="preserve">Comment: </w:t>
            </w:r>
            <w:r w:rsidR="00B30384" w:rsidRPr="00B30384">
              <w:rPr>
                <w:rFonts w:cstheme="minorHAnsi"/>
                <w:b/>
                <w:bCs/>
                <w:i/>
                <w:iCs/>
                <w:color w:val="002060"/>
              </w:rPr>
              <w:t>The NPRM specifies how recipients of BOI</w:t>
            </w:r>
            <w:r w:rsidR="00B30384">
              <w:rPr>
                <w:rFonts w:cstheme="minorHAnsi"/>
                <w:b/>
                <w:bCs/>
                <w:i/>
                <w:iCs/>
                <w:color w:val="002060"/>
              </w:rPr>
              <w:t xml:space="preserve"> (like a bank)</w:t>
            </w:r>
            <w:r w:rsidR="00B30384" w:rsidRPr="00B30384">
              <w:rPr>
                <w:rFonts w:cstheme="minorHAnsi"/>
                <w:b/>
                <w:bCs/>
                <w:i/>
                <w:iCs/>
                <w:color w:val="002060"/>
              </w:rPr>
              <w:t xml:space="preserve"> would need to protect against unauthorized disclosure. The proposed protocols would generally require BOI recipients to have standards and procedures for storing the information in a secure system to which only authorized personnel have access and only for authorized purposes. Audit requirements would apply when prudent or mandated by the CTA, as would requirements to certify compliance with the statute and proposed regulations.</w:t>
            </w:r>
          </w:p>
          <w:p w14:paraId="0F12E6D5" w14:textId="5EA8F2C3" w:rsidR="00B30384" w:rsidRPr="001E0B8E" w:rsidRDefault="00B30384" w:rsidP="00262CF6">
            <w:pPr>
              <w:shd w:val="clear" w:color="auto" w:fill="FFFFFF"/>
              <w:textAlignment w:val="baseline"/>
            </w:pPr>
          </w:p>
        </w:tc>
      </w:tr>
      <w:tr w:rsidR="004304C3" w:rsidRPr="001E0B8E" w14:paraId="20CD8F43" w14:textId="77777777" w:rsidTr="004304C3">
        <w:tc>
          <w:tcPr>
            <w:tcW w:w="985" w:type="dxa"/>
            <w:shd w:val="clear" w:color="auto" w:fill="auto"/>
          </w:tcPr>
          <w:p w14:paraId="190FA76E" w14:textId="77777777" w:rsidR="004304C3" w:rsidRPr="001E0B8E" w:rsidRDefault="004304C3" w:rsidP="00215448">
            <w:pPr>
              <w:tabs>
                <w:tab w:val="left" w:pos="580"/>
              </w:tabs>
            </w:pPr>
          </w:p>
        </w:tc>
        <w:tc>
          <w:tcPr>
            <w:tcW w:w="8365" w:type="dxa"/>
          </w:tcPr>
          <w:p w14:paraId="0896EB4D" w14:textId="77777777" w:rsidR="004304C3" w:rsidRPr="00260542" w:rsidRDefault="004304C3" w:rsidP="00262CF6">
            <w:pPr>
              <w:rPr>
                <w:rFonts w:cstheme="minorHAnsi"/>
                <w:b/>
                <w:bCs/>
              </w:rPr>
            </w:pPr>
          </w:p>
        </w:tc>
      </w:tr>
      <w:tr w:rsidR="004304C3" w:rsidRPr="001E0B8E" w14:paraId="7D763FEF" w14:textId="77777777" w:rsidTr="00B451AA">
        <w:tc>
          <w:tcPr>
            <w:tcW w:w="985" w:type="dxa"/>
            <w:shd w:val="clear" w:color="auto" w:fill="00B050"/>
          </w:tcPr>
          <w:p w14:paraId="2EBCFE29" w14:textId="77777777" w:rsidR="004304C3" w:rsidRPr="001E0B8E" w:rsidRDefault="004304C3" w:rsidP="00215448">
            <w:pPr>
              <w:tabs>
                <w:tab w:val="left" w:pos="580"/>
              </w:tabs>
            </w:pPr>
          </w:p>
        </w:tc>
        <w:tc>
          <w:tcPr>
            <w:tcW w:w="8365" w:type="dxa"/>
          </w:tcPr>
          <w:p w14:paraId="3C7FA44B" w14:textId="77777777" w:rsidR="004304C3" w:rsidRDefault="004304C3" w:rsidP="004304C3">
            <w:pPr>
              <w:pStyle w:val="NormalWeb"/>
              <w:shd w:val="clear" w:color="auto" w:fill="FFFFFF"/>
              <w:rPr>
                <w:rFonts w:asciiTheme="minorHAnsi" w:hAnsiTheme="minorHAnsi" w:cstheme="minorHAnsi"/>
                <w:color w:val="000000" w:themeColor="text1"/>
                <w:sz w:val="22"/>
                <w:szCs w:val="22"/>
              </w:rPr>
            </w:pPr>
            <w:r w:rsidRPr="0080746A">
              <w:rPr>
                <w:rFonts w:asciiTheme="minorHAnsi" w:hAnsiTheme="minorHAnsi" w:cstheme="minorHAnsi"/>
                <w:b/>
                <w:bCs/>
                <w:color w:val="000000" w:themeColor="text1"/>
                <w:sz w:val="22"/>
                <w:szCs w:val="22"/>
              </w:rPr>
              <w:t xml:space="preserve">Tx </w:t>
            </w:r>
            <w:proofErr w:type="spellStart"/>
            <w:r w:rsidRPr="0080746A">
              <w:rPr>
                <w:rFonts w:asciiTheme="minorHAnsi" w:hAnsiTheme="minorHAnsi" w:cstheme="minorHAnsi"/>
                <w:b/>
                <w:bCs/>
                <w:color w:val="000000" w:themeColor="text1"/>
                <w:sz w:val="22"/>
                <w:szCs w:val="22"/>
              </w:rPr>
              <w:t>DoB</w:t>
            </w:r>
            <w:proofErr w:type="spellEnd"/>
            <w:r>
              <w:rPr>
                <w:rFonts w:asciiTheme="minorHAnsi" w:hAnsiTheme="minorHAnsi" w:cstheme="minorHAnsi"/>
                <w:color w:val="000000" w:themeColor="text1"/>
                <w:sz w:val="22"/>
                <w:szCs w:val="22"/>
              </w:rPr>
              <w:t xml:space="preserve"> </w:t>
            </w:r>
            <w:hyperlink r:id="rId14" w:history="1">
              <w:r w:rsidRPr="0061400D">
                <w:rPr>
                  <w:rStyle w:val="Hyperlink"/>
                  <w:rFonts w:asciiTheme="minorHAnsi" w:hAnsiTheme="minorHAnsi" w:cstheme="minorHAnsi"/>
                  <w:sz w:val="22"/>
                  <w:szCs w:val="22"/>
                </w:rPr>
                <w:t>Supervisory News Update Summary</w:t>
              </w:r>
            </w:hyperlink>
            <w:r>
              <w:rPr>
                <w:rFonts w:asciiTheme="minorHAnsi" w:hAnsiTheme="minorHAnsi" w:cstheme="minorHAnsi"/>
                <w:color w:val="000000" w:themeColor="text1"/>
                <w:sz w:val="22"/>
                <w:szCs w:val="22"/>
              </w:rPr>
              <w:t xml:space="preserve"> (11/21/2022) - </w:t>
            </w:r>
            <w:r w:rsidRPr="0080746A">
              <w:rPr>
                <w:rFonts w:asciiTheme="minorHAnsi" w:hAnsiTheme="minorHAnsi" w:cstheme="minorHAnsi"/>
                <w:color w:val="000000" w:themeColor="text1"/>
                <w:sz w:val="22"/>
                <w:szCs w:val="22"/>
              </w:rPr>
              <w:t>The Supervisory Update News Summary (SUNS) contains select press releases, regulatory issuances, publications, and other items issued primarily from federal banking regulatory agencies. Information contained in this publication is not intended to encompass all regulatory issuances, however; the focus is on the areas of examination conducted by the Bank &amp; Trust Supervision examination staff. The publication is issued monthly. Files are in pdf format.</w:t>
            </w:r>
          </w:p>
          <w:p w14:paraId="236F3CA5" w14:textId="77777777" w:rsidR="004304C3" w:rsidRPr="00260542" w:rsidRDefault="004304C3" w:rsidP="00262CF6">
            <w:pPr>
              <w:rPr>
                <w:rFonts w:cstheme="minorHAnsi"/>
                <w:b/>
                <w:bCs/>
              </w:rPr>
            </w:pPr>
          </w:p>
        </w:tc>
      </w:tr>
      <w:tr w:rsidR="00D322C2" w:rsidRPr="001E0B8E" w14:paraId="1F76031B" w14:textId="77777777" w:rsidTr="00D322C2">
        <w:tc>
          <w:tcPr>
            <w:tcW w:w="985" w:type="dxa"/>
            <w:shd w:val="clear" w:color="auto" w:fill="auto"/>
          </w:tcPr>
          <w:p w14:paraId="1E85D8D8" w14:textId="77777777" w:rsidR="00D322C2" w:rsidRPr="001E0B8E" w:rsidRDefault="00D322C2" w:rsidP="00215448">
            <w:pPr>
              <w:tabs>
                <w:tab w:val="left" w:pos="580"/>
              </w:tabs>
            </w:pPr>
          </w:p>
        </w:tc>
        <w:tc>
          <w:tcPr>
            <w:tcW w:w="8365" w:type="dxa"/>
          </w:tcPr>
          <w:p w14:paraId="0FDCAA18" w14:textId="77777777" w:rsidR="00D322C2" w:rsidRPr="0080746A" w:rsidRDefault="00D322C2" w:rsidP="004304C3">
            <w:pPr>
              <w:pStyle w:val="NormalWeb"/>
              <w:shd w:val="clear" w:color="auto" w:fill="FFFFFF"/>
              <w:rPr>
                <w:rFonts w:asciiTheme="minorHAnsi" w:hAnsiTheme="minorHAnsi" w:cstheme="minorHAnsi"/>
                <w:b/>
                <w:bCs/>
                <w:color w:val="000000" w:themeColor="text1"/>
                <w:sz w:val="22"/>
                <w:szCs w:val="22"/>
              </w:rPr>
            </w:pPr>
          </w:p>
        </w:tc>
      </w:tr>
    </w:tbl>
    <w:p w14:paraId="1DDD0CDB" w14:textId="270F550C" w:rsidR="00AC1F42" w:rsidRPr="001E0B8E" w:rsidRDefault="00AC1F42"/>
    <w:p w14:paraId="0E392223" w14:textId="17B4C8EB" w:rsidR="001D488F" w:rsidRPr="001E0B8E" w:rsidRDefault="000015D0">
      <w:pPr>
        <w:rPr>
          <w:rFonts w:cstheme="minorHAnsi"/>
          <w:b/>
          <w:bCs/>
        </w:rPr>
      </w:pPr>
      <w:r w:rsidRPr="001E0B8E">
        <w:rPr>
          <w:rFonts w:ascii="Verdana" w:hAnsi="Verdana"/>
          <w:b/>
          <w:bCs/>
        </w:rPr>
        <w:lastRenderedPageBreak/>
        <w:t xml:space="preserve">Deposit </w:t>
      </w:r>
      <w:r w:rsidR="00764234" w:rsidRPr="001E0B8E">
        <w:rPr>
          <w:rFonts w:ascii="Verdana" w:hAnsi="Verdana"/>
          <w:b/>
          <w:bCs/>
        </w:rPr>
        <w:t xml:space="preserve">/ Retail </w:t>
      </w:r>
      <w:r w:rsidRPr="001E0B8E">
        <w:rPr>
          <w:rFonts w:ascii="Verdana" w:hAnsi="Verdana"/>
          <w:b/>
          <w:bCs/>
        </w:rPr>
        <w:t>Operations</w:t>
      </w:r>
    </w:p>
    <w:tbl>
      <w:tblPr>
        <w:tblStyle w:val="TableGrid"/>
        <w:tblW w:w="0" w:type="auto"/>
        <w:tblLook w:val="04A0" w:firstRow="1" w:lastRow="0" w:firstColumn="1" w:lastColumn="0" w:noHBand="0" w:noVBand="1"/>
      </w:tblPr>
      <w:tblGrid>
        <w:gridCol w:w="985"/>
        <w:gridCol w:w="8365"/>
      </w:tblGrid>
      <w:tr w:rsidR="000829A5" w:rsidRPr="001E0B8E" w14:paraId="41644271" w14:textId="77777777" w:rsidTr="00A061F4">
        <w:tc>
          <w:tcPr>
            <w:tcW w:w="985" w:type="dxa"/>
            <w:shd w:val="clear" w:color="auto" w:fill="FFFF00"/>
          </w:tcPr>
          <w:p w14:paraId="7579B122" w14:textId="77777777" w:rsidR="000829A5" w:rsidRPr="001E0B8E" w:rsidRDefault="000829A5" w:rsidP="0019152D">
            <w:pPr>
              <w:rPr>
                <w:rFonts w:cstheme="minorHAnsi"/>
              </w:rPr>
            </w:pPr>
          </w:p>
        </w:tc>
        <w:tc>
          <w:tcPr>
            <w:tcW w:w="8365" w:type="dxa"/>
          </w:tcPr>
          <w:p w14:paraId="0EB63819" w14:textId="77777777" w:rsidR="002B4A9D" w:rsidRPr="002B4A9D" w:rsidRDefault="002B4A9D" w:rsidP="002B4A9D">
            <w:pPr>
              <w:rPr>
                <w:rFonts w:cstheme="minorHAnsi"/>
              </w:rPr>
            </w:pPr>
            <w:r w:rsidRPr="002B4A9D">
              <w:rPr>
                <w:rFonts w:cstheme="minorHAnsi"/>
                <w:b/>
                <w:bCs/>
              </w:rPr>
              <w:t>FDIC</w:t>
            </w:r>
            <w:r w:rsidRPr="002B4A9D">
              <w:rPr>
                <w:rFonts w:cstheme="minorHAnsi"/>
              </w:rPr>
              <w:t xml:space="preserve"> </w:t>
            </w:r>
            <w:hyperlink r:id="rId15" w:history="1">
              <w:r w:rsidRPr="002B4A9D">
                <w:rPr>
                  <w:rStyle w:val="Hyperlink"/>
                  <w:rFonts w:cstheme="minorHAnsi"/>
                </w:rPr>
                <w:t>Issues A Proposed Rule To Modernize the Use of the FDIC Official Sign and Advertising Statement and to Clarify its Regulations Regarding False Advertising, Misrepresentations About Insured Status, and Misuse of the FDIC’s Name or Logo</w:t>
              </w:r>
            </w:hyperlink>
            <w:r>
              <w:rPr>
                <w:rFonts w:cstheme="minorHAnsi"/>
              </w:rPr>
              <w:t xml:space="preserve"> (12.13.2022) - </w:t>
            </w:r>
          </w:p>
          <w:p w14:paraId="7F92CAB4" w14:textId="12555C8E" w:rsidR="002B4A9D" w:rsidRPr="002B4A9D" w:rsidRDefault="002B4A9D" w:rsidP="002B4A9D">
            <w:pPr>
              <w:rPr>
                <w:rFonts w:cstheme="minorHAnsi"/>
              </w:rPr>
            </w:pPr>
            <w:r w:rsidRPr="002B4A9D">
              <w:rPr>
                <w:rFonts w:cstheme="minorHAnsi"/>
              </w:rPr>
              <w:t xml:space="preserve">WASHINGTON – The Federal Deposit Insurance Corporation (FDIC) Board of Directors issued for public comment a proposed rule to amend part 328 of its regulations to modernize the rules governing use of the official FDIC sign and advertising statements and clarify the FDIC’s regulations regarding misrepresentations of deposit insurance coverage. </w:t>
            </w:r>
          </w:p>
          <w:p w14:paraId="3D77615D" w14:textId="77777777" w:rsidR="002B4A9D" w:rsidRPr="002B4A9D" w:rsidRDefault="002B4A9D" w:rsidP="002B4A9D">
            <w:pPr>
              <w:rPr>
                <w:rFonts w:cstheme="minorHAnsi"/>
              </w:rPr>
            </w:pPr>
          </w:p>
          <w:p w14:paraId="27DEFDEF" w14:textId="77777777" w:rsidR="002B4A9D" w:rsidRPr="002B4A9D" w:rsidRDefault="002B4A9D" w:rsidP="002B4A9D">
            <w:pPr>
              <w:rPr>
                <w:rFonts w:cstheme="minorHAnsi"/>
              </w:rPr>
            </w:pPr>
            <w:r w:rsidRPr="002B4A9D">
              <w:rPr>
                <w:rFonts w:cstheme="minorHAnsi"/>
              </w:rPr>
              <w:t xml:space="preserve">“The FDIC last made major amendments to the official sign and advertising statement rules in 2006,” said Acting Chairman Gruenberg.  “The revisions are intended to extend the certainty and confidence provided by the FDIC official sign found at bank branch teller windows to digital channels, such as bank websites and mobile applications, through which depositors are increasingly handling their banking needs.” </w:t>
            </w:r>
          </w:p>
          <w:p w14:paraId="30C088CD" w14:textId="77777777" w:rsidR="002B4A9D" w:rsidRPr="002B4A9D" w:rsidRDefault="002B4A9D" w:rsidP="002B4A9D">
            <w:pPr>
              <w:rPr>
                <w:rFonts w:cstheme="minorHAnsi"/>
              </w:rPr>
            </w:pPr>
          </w:p>
          <w:p w14:paraId="654CE52E" w14:textId="77777777" w:rsidR="002B4A9D" w:rsidRPr="002B4A9D" w:rsidRDefault="002B4A9D" w:rsidP="002B4A9D">
            <w:pPr>
              <w:rPr>
                <w:rFonts w:cstheme="minorHAnsi"/>
              </w:rPr>
            </w:pPr>
            <w:r w:rsidRPr="002B4A9D">
              <w:rPr>
                <w:rFonts w:cstheme="minorHAnsi"/>
              </w:rPr>
              <w:t>FDIC Logo</w:t>
            </w:r>
          </w:p>
          <w:p w14:paraId="52010534" w14:textId="77777777" w:rsidR="002B4A9D" w:rsidRPr="002B4A9D" w:rsidRDefault="002B4A9D" w:rsidP="002B4A9D">
            <w:pPr>
              <w:rPr>
                <w:rFonts w:cstheme="minorHAnsi"/>
              </w:rPr>
            </w:pPr>
            <w:r w:rsidRPr="002B4A9D">
              <w:rPr>
                <w:rFonts w:cstheme="minorHAnsi"/>
              </w:rPr>
              <w:t>Among other things, the rule would modernize requirements for display of the FDIC official sign. The proposed changes would also require the use of signs that differentiate insured deposits from non-deposit products across banking channels and disclose to consumers that certain financial products are not insured by the FDIC, are not deposits, and may lose value.</w:t>
            </w:r>
          </w:p>
          <w:p w14:paraId="0C318086" w14:textId="77777777" w:rsidR="002B4A9D" w:rsidRPr="002B4A9D" w:rsidRDefault="002B4A9D" w:rsidP="002B4A9D">
            <w:pPr>
              <w:rPr>
                <w:rFonts w:cstheme="minorHAnsi"/>
              </w:rPr>
            </w:pPr>
          </w:p>
          <w:p w14:paraId="621C45FB" w14:textId="77777777" w:rsidR="002B4A9D" w:rsidRPr="002B4A9D" w:rsidRDefault="002B4A9D" w:rsidP="002B4A9D">
            <w:pPr>
              <w:rPr>
                <w:rFonts w:cstheme="minorHAnsi"/>
              </w:rPr>
            </w:pPr>
            <w:r w:rsidRPr="002B4A9D">
              <w:rPr>
                <w:rFonts w:cstheme="minorHAnsi"/>
              </w:rPr>
              <w:t xml:space="preserve">In addition, the proposed rule would clarify the FDIC’s regulations regarding misrepresentations of deposit insurance coverage by addressing specific scenarios where persons or entities provide information to consumers that may be misleading and confuse consumers as to whether they are doing business with a bank and whether their funds are protected by deposit insurance.  For example, the proposed rule would clarify that FDIC-associated terms or images may not be used in marketing and advertising materials to imply or represent that any uninsured financial product is insured or guaranteed by the FDIC. </w:t>
            </w:r>
          </w:p>
          <w:p w14:paraId="71B59BF3" w14:textId="77777777" w:rsidR="002B4A9D" w:rsidRPr="002B4A9D" w:rsidRDefault="002B4A9D" w:rsidP="002B4A9D">
            <w:pPr>
              <w:rPr>
                <w:rFonts w:cstheme="minorHAnsi"/>
              </w:rPr>
            </w:pPr>
          </w:p>
          <w:p w14:paraId="5F2CBD73" w14:textId="77777777" w:rsidR="002B4A9D" w:rsidRPr="002B4A9D" w:rsidRDefault="002B4A9D" w:rsidP="002B4A9D">
            <w:pPr>
              <w:rPr>
                <w:rFonts w:cstheme="minorHAnsi"/>
              </w:rPr>
            </w:pPr>
            <w:r w:rsidRPr="002B4A9D">
              <w:rPr>
                <w:rFonts w:cstheme="minorHAnsi"/>
              </w:rPr>
              <w:t>As Acting Chairman Gruenberg noted, “Next year, 2023, will mark the 90th anniversary of the FDIC.  This timely proposal would bring the certainty, safety, and confidence historically provided by the FDIC sign and FDIC insurance to today’s varied banking channels, including digital banking.”</w:t>
            </w:r>
          </w:p>
          <w:p w14:paraId="526CCE80" w14:textId="77777777" w:rsidR="002B4A9D" w:rsidRPr="002B4A9D" w:rsidRDefault="002B4A9D" w:rsidP="002B4A9D">
            <w:pPr>
              <w:rPr>
                <w:rFonts w:cstheme="minorHAnsi"/>
              </w:rPr>
            </w:pPr>
          </w:p>
          <w:p w14:paraId="333AE9A8" w14:textId="206B3D1B" w:rsidR="002B4A9D" w:rsidRPr="002B4A9D" w:rsidRDefault="002B4A9D" w:rsidP="002B4A9D">
            <w:pPr>
              <w:rPr>
                <w:rFonts w:cstheme="minorHAnsi"/>
              </w:rPr>
            </w:pPr>
            <w:r>
              <w:rPr>
                <w:rFonts w:cstheme="minorHAnsi"/>
              </w:rPr>
              <w:t>Attachments:</w:t>
            </w:r>
          </w:p>
          <w:p w14:paraId="76228DBF" w14:textId="77777777" w:rsidR="002B4A9D" w:rsidRPr="002B4A9D" w:rsidRDefault="002B4A9D" w:rsidP="002B4A9D">
            <w:pPr>
              <w:rPr>
                <w:rFonts w:cstheme="minorHAnsi"/>
              </w:rPr>
            </w:pPr>
          </w:p>
          <w:p w14:paraId="2A17DD72" w14:textId="3161D3EC" w:rsidR="006F5FAC" w:rsidRDefault="00000000" w:rsidP="002B4A9D">
            <w:pPr>
              <w:rPr>
                <w:rFonts w:cstheme="minorHAnsi"/>
              </w:rPr>
            </w:pPr>
            <w:hyperlink r:id="rId16" w:history="1">
              <w:r w:rsidR="002B4A9D" w:rsidRPr="002B4A9D">
                <w:rPr>
                  <w:rStyle w:val="Hyperlink"/>
                  <w:rFonts w:cstheme="minorHAnsi"/>
                </w:rPr>
                <w:t>Proposed Rules on FDIC Official Sign and Advertising; and Misrepresentation and Misuse of FDIC’s name and Logo</w:t>
              </w:r>
            </w:hyperlink>
          </w:p>
          <w:p w14:paraId="71A9C610" w14:textId="77777777" w:rsidR="002B4A9D" w:rsidRDefault="002B4A9D" w:rsidP="002B4A9D">
            <w:pPr>
              <w:rPr>
                <w:rFonts w:cstheme="minorHAnsi"/>
              </w:rPr>
            </w:pPr>
          </w:p>
          <w:p w14:paraId="7A313F06" w14:textId="0255B27E" w:rsidR="002B4A9D" w:rsidRDefault="002B4A9D" w:rsidP="002B4A9D">
            <w:pPr>
              <w:rPr>
                <w:rFonts w:cstheme="minorHAnsi"/>
                <w:b/>
                <w:bCs/>
                <w:i/>
                <w:iCs/>
                <w:color w:val="002060"/>
              </w:rPr>
            </w:pPr>
            <w:r w:rsidRPr="002B4A9D">
              <w:rPr>
                <w:rFonts w:cstheme="minorHAnsi"/>
                <w:b/>
                <w:bCs/>
                <w:i/>
                <w:iCs/>
                <w:color w:val="002060"/>
              </w:rPr>
              <w:t xml:space="preserve">Comment: </w:t>
            </w:r>
            <w:r w:rsidR="00B30384">
              <w:rPr>
                <w:rFonts w:cstheme="minorHAnsi"/>
                <w:b/>
                <w:bCs/>
                <w:i/>
                <w:iCs/>
                <w:color w:val="002060"/>
              </w:rPr>
              <w:t>Update your policies and procedures accordingly.  O</w:t>
            </w:r>
            <w:r w:rsidR="00B30384" w:rsidRPr="00B30384">
              <w:rPr>
                <w:rFonts w:cstheme="minorHAnsi"/>
                <w:b/>
                <w:bCs/>
                <w:i/>
                <w:iCs/>
                <w:color w:val="002060"/>
              </w:rPr>
              <w:t xml:space="preserve">ne point of note that </w:t>
            </w:r>
            <w:r w:rsidR="00B30384">
              <w:rPr>
                <w:rFonts w:cstheme="minorHAnsi"/>
                <w:b/>
                <w:bCs/>
                <w:i/>
                <w:iCs/>
                <w:color w:val="002060"/>
              </w:rPr>
              <w:t>is that ‘</w:t>
            </w:r>
            <w:r w:rsidR="00B30384" w:rsidRPr="00B30384">
              <w:rPr>
                <w:rFonts w:cstheme="minorHAnsi"/>
                <w:b/>
                <w:bCs/>
                <w:i/>
                <w:iCs/>
                <w:color w:val="002060"/>
              </w:rPr>
              <w:t>insured depository institutions</w:t>
            </w:r>
            <w:r w:rsidR="00B30384">
              <w:rPr>
                <w:rFonts w:cstheme="minorHAnsi"/>
                <w:b/>
                <w:bCs/>
                <w:i/>
                <w:iCs/>
                <w:color w:val="002060"/>
              </w:rPr>
              <w:t xml:space="preserve">’ (IDIs) </w:t>
            </w:r>
            <w:r w:rsidR="00B30384" w:rsidRPr="00B30384">
              <w:rPr>
                <w:rFonts w:cstheme="minorHAnsi"/>
                <w:b/>
                <w:bCs/>
                <w:i/>
                <w:iCs/>
                <w:color w:val="002060"/>
              </w:rPr>
              <w:t xml:space="preserve">and their fintech/crypto partners should focus on is the requirement that an </w:t>
            </w:r>
            <w:r w:rsidR="00C90B9E">
              <w:rPr>
                <w:rFonts w:cstheme="minorHAnsi"/>
                <w:b/>
                <w:bCs/>
                <w:i/>
                <w:iCs/>
                <w:color w:val="002060"/>
              </w:rPr>
              <w:t xml:space="preserve">insured bank </w:t>
            </w:r>
            <w:r w:rsidR="00B30384" w:rsidRPr="00B30384">
              <w:rPr>
                <w:rFonts w:cstheme="minorHAnsi"/>
                <w:b/>
                <w:bCs/>
                <w:i/>
                <w:iCs/>
                <w:color w:val="002060"/>
              </w:rPr>
              <w:t>maintain policies and procedures that include provisions for monitoring and evaluating activities of third parties that offer IDI products or services to others.</w:t>
            </w:r>
          </w:p>
          <w:p w14:paraId="588D578B" w14:textId="63381958" w:rsidR="002B4A9D" w:rsidRPr="002B4A9D" w:rsidRDefault="002B4A9D" w:rsidP="002B4A9D">
            <w:pPr>
              <w:rPr>
                <w:rFonts w:cstheme="minorHAnsi"/>
                <w:b/>
                <w:bCs/>
                <w:i/>
                <w:iCs/>
              </w:rPr>
            </w:pPr>
          </w:p>
        </w:tc>
      </w:tr>
    </w:tbl>
    <w:p w14:paraId="5BB3FAA9" w14:textId="5B597A23" w:rsidR="000015D0" w:rsidRPr="001E0B8E" w:rsidRDefault="000015D0">
      <w:pPr>
        <w:rPr>
          <w:rFonts w:ascii="Verdana" w:hAnsi="Verdana"/>
          <w:b/>
          <w:bCs/>
        </w:rPr>
      </w:pPr>
    </w:p>
    <w:p w14:paraId="79A26B60" w14:textId="77777777" w:rsidR="00AC1F42" w:rsidRPr="001E0B8E" w:rsidRDefault="00AC1F42" w:rsidP="00AC1F42">
      <w:pPr>
        <w:rPr>
          <w:rFonts w:ascii="Verdana" w:hAnsi="Verdana"/>
          <w:b/>
          <w:bCs/>
        </w:rPr>
      </w:pPr>
      <w:r w:rsidRPr="001E0B8E">
        <w:rPr>
          <w:rFonts w:ascii="Verdana" w:hAnsi="Verdana"/>
          <w:b/>
          <w:bCs/>
        </w:rPr>
        <w:t>Human Resources</w:t>
      </w:r>
    </w:p>
    <w:tbl>
      <w:tblPr>
        <w:tblStyle w:val="TableGrid"/>
        <w:tblW w:w="0" w:type="auto"/>
        <w:tblLook w:val="04A0" w:firstRow="1" w:lastRow="0" w:firstColumn="1" w:lastColumn="0" w:noHBand="0" w:noVBand="1"/>
      </w:tblPr>
      <w:tblGrid>
        <w:gridCol w:w="985"/>
        <w:gridCol w:w="8365"/>
      </w:tblGrid>
      <w:tr w:rsidR="00BF315E" w:rsidRPr="001E0B8E" w14:paraId="0AB56295" w14:textId="77777777" w:rsidTr="00613CF9">
        <w:tc>
          <w:tcPr>
            <w:tcW w:w="985" w:type="dxa"/>
            <w:shd w:val="clear" w:color="auto" w:fill="00B050"/>
          </w:tcPr>
          <w:p w14:paraId="01AB86D6" w14:textId="77777777" w:rsidR="00BF315E" w:rsidRPr="00A735DB" w:rsidRDefault="00BF315E" w:rsidP="00215448"/>
        </w:tc>
        <w:tc>
          <w:tcPr>
            <w:tcW w:w="8365" w:type="dxa"/>
          </w:tcPr>
          <w:p w14:paraId="2C606FFF" w14:textId="791CDB26" w:rsidR="004C0E51" w:rsidRPr="004C0E51" w:rsidRDefault="004C0E51" w:rsidP="004C0E51">
            <w:pPr>
              <w:shd w:val="clear" w:color="auto" w:fill="FFFFFF"/>
              <w:tabs>
                <w:tab w:val="left" w:pos="5790"/>
              </w:tabs>
              <w:textAlignment w:val="baseline"/>
              <w:rPr>
                <w:rFonts w:cstheme="minorHAnsi"/>
              </w:rPr>
            </w:pPr>
          </w:p>
        </w:tc>
      </w:tr>
    </w:tbl>
    <w:p w14:paraId="12AF805C" w14:textId="7522E3B5" w:rsidR="00AC1F42" w:rsidRPr="001E0B8E" w:rsidRDefault="00AC1F42">
      <w:pPr>
        <w:rPr>
          <w:rFonts w:ascii="Verdana" w:hAnsi="Verdana"/>
          <w:b/>
          <w:bCs/>
        </w:rPr>
      </w:pPr>
    </w:p>
    <w:p w14:paraId="6F291F0F" w14:textId="77777777" w:rsidR="00AC1F42" w:rsidRPr="001E0B8E" w:rsidRDefault="00AC1F42" w:rsidP="00AC1F42">
      <w:pPr>
        <w:rPr>
          <w:rFonts w:ascii="Verdana" w:hAnsi="Verdana"/>
          <w:b/>
          <w:bCs/>
        </w:rPr>
      </w:pPr>
      <w:r w:rsidRPr="001E0B8E">
        <w:rPr>
          <w:rFonts w:ascii="Verdana" w:hAnsi="Verdana"/>
          <w:b/>
          <w:bCs/>
        </w:rPr>
        <w:t>Lending</w:t>
      </w:r>
    </w:p>
    <w:tbl>
      <w:tblPr>
        <w:tblStyle w:val="TableGrid"/>
        <w:tblW w:w="0" w:type="auto"/>
        <w:tblLook w:val="04A0" w:firstRow="1" w:lastRow="0" w:firstColumn="1" w:lastColumn="0" w:noHBand="0" w:noVBand="1"/>
      </w:tblPr>
      <w:tblGrid>
        <w:gridCol w:w="978"/>
        <w:gridCol w:w="8372"/>
      </w:tblGrid>
      <w:tr w:rsidR="007E7744" w:rsidRPr="001E0B8E" w14:paraId="0699AAEB" w14:textId="77777777" w:rsidTr="00A65700">
        <w:tc>
          <w:tcPr>
            <w:tcW w:w="978" w:type="dxa"/>
            <w:shd w:val="clear" w:color="auto" w:fill="00B050"/>
          </w:tcPr>
          <w:p w14:paraId="316E3315" w14:textId="77777777" w:rsidR="007E7744" w:rsidRPr="001E0B8E" w:rsidRDefault="007E7744" w:rsidP="00EE3D72">
            <w:pPr>
              <w:tabs>
                <w:tab w:val="left" w:pos="500"/>
              </w:tabs>
              <w:rPr>
                <w:color w:val="00B050"/>
              </w:rPr>
            </w:pPr>
          </w:p>
        </w:tc>
        <w:tc>
          <w:tcPr>
            <w:tcW w:w="8372" w:type="dxa"/>
          </w:tcPr>
          <w:p w14:paraId="4953EF37" w14:textId="01099429" w:rsidR="007E7744" w:rsidRDefault="007E7744" w:rsidP="007E7744">
            <w:pPr>
              <w:rPr>
                <w:rFonts w:cstheme="minorHAnsi"/>
              </w:rPr>
            </w:pPr>
            <w:r w:rsidRPr="007E7744">
              <w:rPr>
                <w:rFonts w:cstheme="minorHAnsi"/>
                <w:b/>
                <w:bCs/>
              </w:rPr>
              <w:t>CFPB</w:t>
            </w:r>
            <w:r w:rsidRPr="007E7744">
              <w:rPr>
                <w:rFonts w:cstheme="minorHAnsi"/>
              </w:rPr>
              <w:t xml:space="preserve"> </w:t>
            </w:r>
            <w:hyperlink r:id="rId17" w:history="1">
              <w:r w:rsidRPr="007E7744">
                <w:rPr>
                  <w:rStyle w:val="Hyperlink"/>
                  <w:rFonts w:cstheme="minorHAnsi"/>
                </w:rPr>
                <w:t>Announces Asset-Size Threshold Adjustments Under HMDA (Regulation C), TILA (Regulation Z), and Federal Civil Penalties Inflation Adjustment Act</w:t>
              </w:r>
            </w:hyperlink>
            <w:r>
              <w:rPr>
                <w:rFonts w:cstheme="minorHAnsi"/>
              </w:rPr>
              <w:t xml:space="preserve"> (12.28.2022) - </w:t>
            </w:r>
            <w:r w:rsidRPr="007E7744">
              <w:rPr>
                <w:rFonts w:cstheme="minorHAnsi"/>
              </w:rPr>
              <w:t>The Bureau has issued three annual threshold adjustment final rules.</w:t>
            </w:r>
          </w:p>
          <w:p w14:paraId="7E57F32C" w14:textId="77777777" w:rsidR="007E7744" w:rsidRPr="007E7744" w:rsidRDefault="007E7744" w:rsidP="007E7744">
            <w:pPr>
              <w:rPr>
                <w:rFonts w:cstheme="minorHAnsi"/>
              </w:rPr>
            </w:pPr>
          </w:p>
          <w:p w14:paraId="340CFCA7" w14:textId="0F18D6CC" w:rsidR="007E7744" w:rsidRDefault="007E7744" w:rsidP="007E7744">
            <w:pPr>
              <w:rPr>
                <w:rFonts w:cstheme="minorHAnsi"/>
              </w:rPr>
            </w:pPr>
            <w:r w:rsidRPr="007E7744">
              <w:rPr>
                <w:rFonts w:cstheme="minorHAnsi"/>
              </w:rPr>
              <w:t xml:space="preserve">First, the Bureau has announced the asset-size exemption thresholds for depository institutions under Regulation C. </w:t>
            </w:r>
          </w:p>
          <w:p w14:paraId="46F514AB" w14:textId="77777777" w:rsidR="007E7744" w:rsidRPr="007E7744" w:rsidRDefault="007E7744" w:rsidP="007E7744">
            <w:pPr>
              <w:rPr>
                <w:rFonts w:cstheme="minorHAnsi"/>
              </w:rPr>
            </w:pPr>
          </w:p>
          <w:p w14:paraId="71456D2E" w14:textId="4326C5AE" w:rsidR="007E7744" w:rsidRDefault="007E7744" w:rsidP="007E7744">
            <w:pPr>
              <w:rPr>
                <w:rFonts w:cstheme="minorHAnsi"/>
              </w:rPr>
            </w:pPr>
            <w:r w:rsidRPr="007E7744">
              <w:rPr>
                <w:rFonts w:cstheme="minorHAnsi"/>
              </w:rPr>
              <w:t xml:space="preserve">Second, the Bureau has announced the asset-size exemption thresholds for certain creditors under the escrow requirements and small creditor portfolio and balloon-payment qualified mortgage requirements, and the small creditor exemption from the prohibition against balloon-payment high-cost mortgages under Regulation Z. </w:t>
            </w:r>
          </w:p>
          <w:p w14:paraId="417A6AB8" w14:textId="77777777" w:rsidR="007E7744" w:rsidRPr="007E7744" w:rsidRDefault="007E7744" w:rsidP="007E7744">
            <w:pPr>
              <w:rPr>
                <w:rFonts w:cstheme="minorHAnsi"/>
              </w:rPr>
            </w:pPr>
          </w:p>
          <w:p w14:paraId="0F7A67BD" w14:textId="105CEBC4" w:rsidR="007E7744" w:rsidRDefault="007E7744" w:rsidP="007E7744">
            <w:pPr>
              <w:rPr>
                <w:rFonts w:cstheme="minorHAnsi"/>
              </w:rPr>
            </w:pPr>
            <w:r w:rsidRPr="007E7744">
              <w:rPr>
                <w:rFonts w:cstheme="minorHAnsi"/>
              </w:rPr>
              <w:t xml:space="preserve">Third, the Bureau has announced the annual adjustments for inflation to the Bureau’s civil penalty amounts, as required by the Federal Civil Penalties Inflation Adjustment Act, as amended.  </w:t>
            </w:r>
          </w:p>
          <w:p w14:paraId="57CD664A" w14:textId="77777777" w:rsidR="007E7744" w:rsidRPr="007E7744" w:rsidRDefault="007E7744" w:rsidP="007E7744">
            <w:pPr>
              <w:rPr>
                <w:rFonts w:cstheme="minorHAnsi"/>
              </w:rPr>
            </w:pPr>
          </w:p>
          <w:p w14:paraId="65EA7208" w14:textId="7DDA0589" w:rsidR="007E7744" w:rsidRDefault="007E7744" w:rsidP="007E7744">
            <w:pPr>
              <w:rPr>
                <w:rFonts w:cstheme="minorHAnsi"/>
              </w:rPr>
            </w:pPr>
            <w:r w:rsidRPr="007E7744">
              <w:rPr>
                <w:rFonts w:cstheme="minorHAnsi"/>
              </w:rPr>
              <w:t>The HMDA and TILA escrow adjustments are effective on January 1, 2023, consistent with relevant statutory or regulatory provisions.  The civil penalty adjustments are effective on January 15, 2023.</w:t>
            </w:r>
          </w:p>
          <w:p w14:paraId="3013651D" w14:textId="77777777" w:rsidR="007E7744" w:rsidRPr="007E7744" w:rsidRDefault="007E7744" w:rsidP="007E7744">
            <w:pPr>
              <w:rPr>
                <w:rFonts w:cstheme="minorHAnsi"/>
              </w:rPr>
            </w:pPr>
          </w:p>
          <w:p w14:paraId="6E259BD5" w14:textId="56C7C434" w:rsidR="007E7744" w:rsidRDefault="007E7744" w:rsidP="007E7744">
            <w:pPr>
              <w:rPr>
                <w:rFonts w:cstheme="minorHAnsi"/>
              </w:rPr>
            </w:pPr>
            <w:r w:rsidRPr="007E7744">
              <w:rPr>
                <w:rFonts w:cstheme="minorHAnsi"/>
              </w:rPr>
              <w:t xml:space="preserve">You can access the Regulation C notice at: </w:t>
            </w:r>
            <w:hyperlink r:id="rId18" w:history="1">
              <w:r w:rsidRPr="007A31D7">
                <w:rPr>
                  <w:rStyle w:val="Hyperlink"/>
                  <w:rFonts w:cstheme="minorHAnsi"/>
                </w:rPr>
                <w:t>www.consumerfinance.gov/policy-compliance/rulemaking/final-rules/home-mortgage-disclosure-regulation-c-adjustment-asset-size-exemption-threshold/</w:t>
              </w:r>
            </w:hyperlink>
            <w:r w:rsidRPr="007E7744">
              <w:rPr>
                <w:rFonts w:cstheme="minorHAnsi"/>
              </w:rPr>
              <w:t>.</w:t>
            </w:r>
          </w:p>
          <w:p w14:paraId="650E1F89" w14:textId="77777777" w:rsidR="007E7744" w:rsidRPr="007E7744" w:rsidRDefault="007E7744" w:rsidP="007E7744">
            <w:pPr>
              <w:rPr>
                <w:rFonts w:cstheme="minorHAnsi"/>
              </w:rPr>
            </w:pPr>
          </w:p>
          <w:p w14:paraId="33D82F0B" w14:textId="49A5E327" w:rsidR="007E7744" w:rsidRDefault="007E7744" w:rsidP="007E7744">
            <w:pPr>
              <w:rPr>
                <w:rFonts w:cstheme="minorHAnsi"/>
              </w:rPr>
            </w:pPr>
            <w:r w:rsidRPr="007E7744">
              <w:rPr>
                <w:rFonts w:cstheme="minorHAnsi"/>
              </w:rPr>
              <w:t xml:space="preserve">You can access the Regulation Z notice at: </w:t>
            </w:r>
            <w:hyperlink r:id="rId19" w:history="1">
              <w:r w:rsidRPr="007A31D7">
                <w:rPr>
                  <w:rStyle w:val="Hyperlink"/>
                  <w:rFonts w:cstheme="minorHAnsi"/>
                </w:rPr>
                <w:t>www.consumerfinance.gov/policy-compliance/rulemaking/final-rules/truth-lending-act-regulation-z-adjustment-asset-size-exemption-threshold/</w:t>
              </w:r>
            </w:hyperlink>
            <w:r w:rsidRPr="007E7744">
              <w:rPr>
                <w:rFonts w:cstheme="minorHAnsi"/>
              </w:rPr>
              <w:t>.</w:t>
            </w:r>
          </w:p>
          <w:p w14:paraId="2F95E30E" w14:textId="77777777" w:rsidR="007E7744" w:rsidRPr="007E7744" w:rsidRDefault="007E7744" w:rsidP="007E7744">
            <w:pPr>
              <w:rPr>
                <w:rFonts w:cstheme="minorHAnsi"/>
              </w:rPr>
            </w:pPr>
          </w:p>
          <w:p w14:paraId="7CE48D2A" w14:textId="4893DFD4" w:rsidR="007E7744" w:rsidRDefault="007E7744" w:rsidP="007E7744">
            <w:pPr>
              <w:rPr>
                <w:rFonts w:cstheme="minorHAnsi"/>
              </w:rPr>
            </w:pPr>
            <w:r w:rsidRPr="007E7744">
              <w:rPr>
                <w:rFonts w:cstheme="minorHAnsi"/>
              </w:rPr>
              <w:t xml:space="preserve">You can access the civil penalty notice at: </w:t>
            </w:r>
            <w:hyperlink r:id="rId20" w:history="1">
              <w:r w:rsidRPr="007A31D7">
                <w:rPr>
                  <w:rStyle w:val="Hyperlink"/>
                  <w:rFonts w:cstheme="minorHAnsi"/>
                </w:rPr>
                <w:t>www.consumerfinance.gov/rules-policy/final-rules/civil-penalty-inflation-annual-adjustments/</w:t>
              </w:r>
            </w:hyperlink>
            <w:r w:rsidRPr="007E7744">
              <w:rPr>
                <w:rFonts w:cstheme="minorHAnsi"/>
              </w:rPr>
              <w:t>.</w:t>
            </w:r>
          </w:p>
          <w:p w14:paraId="29EFB95D" w14:textId="77777777" w:rsidR="007E7744" w:rsidRDefault="007E7744" w:rsidP="007E7744">
            <w:pPr>
              <w:rPr>
                <w:rFonts w:cstheme="minorHAnsi"/>
              </w:rPr>
            </w:pPr>
          </w:p>
          <w:p w14:paraId="6CA6F5EE" w14:textId="4C05CFDD" w:rsidR="007E7744" w:rsidRDefault="007E7744" w:rsidP="007E7744">
            <w:pPr>
              <w:rPr>
                <w:rFonts w:cstheme="minorHAnsi"/>
                <w:b/>
                <w:bCs/>
                <w:i/>
                <w:iCs/>
                <w:color w:val="002060"/>
              </w:rPr>
            </w:pPr>
            <w:r w:rsidRPr="002B4A9D">
              <w:rPr>
                <w:rFonts w:cstheme="minorHAnsi"/>
                <w:b/>
                <w:bCs/>
                <w:i/>
                <w:iCs/>
                <w:color w:val="002060"/>
              </w:rPr>
              <w:t xml:space="preserve">Comment: </w:t>
            </w:r>
            <w:r w:rsidR="00C90B9E">
              <w:rPr>
                <w:rFonts w:cstheme="minorHAnsi"/>
                <w:b/>
                <w:bCs/>
                <w:i/>
                <w:iCs/>
                <w:color w:val="002060"/>
              </w:rPr>
              <w:t xml:space="preserve">Normal, annual adjustments under the regulations.  Share with your compliance staff and update policies and procedures accordingly. </w:t>
            </w:r>
          </w:p>
          <w:p w14:paraId="6BAA7D66" w14:textId="5BC281E3" w:rsidR="007E7744" w:rsidRPr="007E7744" w:rsidRDefault="007E7744" w:rsidP="007E7744">
            <w:pPr>
              <w:rPr>
                <w:rFonts w:cstheme="minorHAnsi"/>
              </w:rPr>
            </w:pPr>
          </w:p>
        </w:tc>
      </w:tr>
      <w:tr w:rsidR="007E7744" w:rsidRPr="001E0B8E" w14:paraId="4B7C853F" w14:textId="77777777" w:rsidTr="007E7744">
        <w:tc>
          <w:tcPr>
            <w:tcW w:w="978" w:type="dxa"/>
            <w:shd w:val="clear" w:color="auto" w:fill="auto"/>
          </w:tcPr>
          <w:p w14:paraId="573ADDFA" w14:textId="77777777" w:rsidR="007E7744" w:rsidRPr="001E0B8E" w:rsidRDefault="007E7744" w:rsidP="00EE3D72">
            <w:pPr>
              <w:tabs>
                <w:tab w:val="left" w:pos="500"/>
              </w:tabs>
              <w:rPr>
                <w:color w:val="00B050"/>
              </w:rPr>
            </w:pPr>
          </w:p>
        </w:tc>
        <w:tc>
          <w:tcPr>
            <w:tcW w:w="8372" w:type="dxa"/>
          </w:tcPr>
          <w:p w14:paraId="0862A5BA" w14:textId="77777777" w:rsidR="007E7744" w:rsidRPr="007E7744" w:rsidRDefault="007E7744" w:rsidP="007E7744">
            <w:pPr>
              <w:rPr>
                <w:rFonts w:cstheme="minorHAnsi"/>
                <w:b/>
                <w:bCs/>
              </w:rPr>
            </w:pPr>
          </w:p>
        </w:tc>
      </w:tr>
      <w:tr w:rsidR="007E7744" w:rsidRPr="001E0B8E" w14:paraId="39FFCA9C" w14:textId="77777777" w:rsidTr="00A65700">
        <w:tc>
          <w:tcPr>
            <w:tcW w:w="978" w:type="dxa"/>
            <w:shd w:val="clear" w:color="auto" w:fill="00B050"/>
          </w:tcPr>
          <w:p w14:paraId="712A53EE" w14:textId="77777777" w:rsidR="007E7744" w:rsidRPr="001E0B8E" w:rsidRDefault="007E7744" w:rsidP="00EE3D72">
            <w:pPr>
              <w:tabs>
                <w:tab w:val="left" w:pos="500"/>
              </w:tabs>
              <w:rPr>
                <w:color w:val="00B050"/>
              </w:rPr>
            </w:pPr>
          </w:p>
        </w:tc>
        <w:tc>
          <w:tcPr>
            <w:tcW w:w="8372" w:type="dxa"/>
          </w:tcPr>
          <w:p w14:paraId="4A5616BD" w14:textId="1C1363CE" w:rsidR="007E7744" w:rsidRDefault="007E7744" w:rsidP="007E7744">
            <w:pPr>
              <w:rPr>
                <w:rFonts w:cstheme="minorHAnsi"/>
              </w:rPr>
            </w:pPr>
            <w:r w:rsidRPr="007E7744">
              <w:rPr>
                <w:rFonts w:cstheme="minorHAnsi"/>
                <w:b/>
                <w:bCs/>
              </w:rPr>
              <w:t>CFPB</w:t>
            </w:r>
            <w:r w:rsidRPr="007E7744">
              <w:rPr>
                <w:rFonts w:cstheme="minorHAnsi"/>
              </w:rPr>
              <w:t xml:space="preserve"> </w:t>
            </w:r>
            <w:hyperlink r:id="rId21" w:history="1">
              <w:r w:rsidRPr="007E7744">
                <w:rPr>
                  <w:rStyle w:val="Hyperlink"/>
                  <w:rFonts w:cstheme="minorHAnsi"/>
                </w:rPr>
                <w:t>Announces Threshold Adjustments Under TILA (Regulation Z) Impacting HOEPA Loans and Qualified Mortgages</w:t>
              </w:r>
            </w:hyperlink>
            <w:r>
              <w:rPr>
                <w:rFonts w:cstheme="minorHAnsi"/>
              </w:rPr>
              <w:t xml:space="preserve"> (12.23.2022) - </w:t>
            </w:r>
            <w:r w:rsidRPr="007E7744">
              <w:rPr>
                <w:rFonts w:cstheme="minorHAnsi"/>
              </w:rPr>
              <w:t xml:space="preserve">The Consumer Financial Protection Bureau has issued a final rule amending the official interpretations for Regulation Z, which implements the Truth in Lending Act (TILA). The Bureau is required to calculate annually the dollar amounts for several provisions in Regulation Z. This final rule reviews dollar amounts for </w:t>
            </w:r>
            <w:r w:rsidRPr="007E7744">
              <w:rPr>
                <w:rFonts w:cstheme="minorHAnsi"/>
              </w:rPr>
              <w:lastRenderedPageBreak/>
              <w:t xml:space="preserve">certain provisions implementing TILA and amendments to TILA impacting HOEPA loans and qualified mortgages.  </w:t>
            </w:r>
          </w:p>
          <w:p w14:paraId="493A9BC2" w14:textId="77777777" w:rsidR="007E7744" w:rsidRPr="007E7744" w:rsidRDefault="007E7744" w:rsidP="007E7744">
            <w:pPr>
              <w:rPr>
                <w:rFonts w:cstheme="minorHAnsi"/>
              </w:rPr>
            </w:pPr>
          </w:p>
          <w:p w14:paraId="63B33F7A" w14:textId="68763146" w:rsidR="007E7744" w:rsidRDefault="007E7744" w:rsidP="007E7744">
            <w:pPr>
              <w:rPr>
                <w:rFonts w:cstheme="minorHAnsi"/>
              </w:rPr>
            </w:pPr>
            <w:r w:rsidRPr="007E7744">
              <w:rPr>
                <w:rFonts w:cstheme="minorHAnsi"/>
              </w:rPr>
              <w:t>These adjustments are applicable January 1, 2023, consistent with relevant statutory or regulatory provisions.</w:t>
            </w:r>
          </w:p>
          <w:p w14:paraId="194D356E" w14:textId="77777777" w:rsidR="007E7744" w:rsidRPr="007E7744" w:rsidRDefault="007E7744" w:rsidP="007E7744">
            <w:pPr>
              <w:rPr>
                <w:rFonts w:cstheme="minorHAnsi"/>
              </w:rPr>
            </w:pPr>
          </w:p>
          <w:p w14:paraId="34A4B103" w14:textId="77777777" w:rsidR="007E7744" w:rsidRDefault="007E7744" w:rsidP="007E7744">
            <w:pPr>
              <w:rPr>
                <w:rFonts w:cstheme="minorHAnsi"/>
              </w:rPr>
            </w:pPr>
            <w:r w:rsidRPr="007E7744">
              <w:rPr>
                <w:rFonts w:cstheme="minorHAnsi"/>
              </w:rPr>
              <w:t xml:space="preserve">You can access the notice at: </w:t>
            </w:r>
            <w:hyperlink r:id="rId22" w:history="1">
              <w:r w:rsidRPr="007A31D7">
                <w:rPr>
                  <w:rStyle w:val="Hyperlink"/>
                  <w:rFonts w:cstheme="minorHAnsi"/>
                </w:rPr>
                <w:t>https://www.consumerfinance.gov/policy-compliance/rulemaking/final-rules/truth-lending-regulation-z-annual-threshold-adjustments-card-act-hoepa/</w:t>
              </w:r>
            </w:hyperlink>
            <w:r w:rsidRPr="007E7744">
              <w:rPr>
                <w:rFonts w:cstheme="minorHAnsi"/>
              </w:rPr>
              <w:t>.</w:t>
            </w:r>
            <w:r>
              <w:rPr>
                <w:rFonts w:cstheme="minorHAnsi"/>
              </w:rPr>
              <w:t xml:space="preserve"> </w:t>
            </w:r>
          </w:p>
          <w:p w14:paraId="62E75587" w14:textId="77777777" w:rsidR="007E7744" w:rsidRDefault="007E7744" w:rsidP="007E7744">
            <w:pPr>
              <w:rPr>
                <w:rFonts w:cstheme="minorHAnsi"/>
              </w:rPr>
            </w:pPr>
          </w:p>
          <w:p w14:paraId="303F5B86" w14:textId="0DDB137A" w:rsidR="007E7744" w:rsidRDefault="007E7744" w:rsidP="007E7744">
            <w:pPr>
              <w:rPr>
                <w:rFonts w:cstheme="minorHAnsi"/>
                <w:b/>
                <w:bCs/>
                <w:i/>
                <w:iCs/>
                <w:color w:val="002060"/>
              </w:rPr>
            </w:pPr>
            <w:r w:rsidRPr="002B4A9D">
              <w:rPr>
                <w:rFonts w:cstheme="minorHAnsi"/>
                <w:b/>
                <w:bCs/>
                <w:i/>
                <w:iCs/>
                <w:color w:val="002060"/>
              </w:rPr>
              <w:t xml:space="preserve">Comment: </w:t>
            </w:r>
            <w:r w:rsidR="00C90B9E" w:rsidRPr="00C90B9E">
              <w:rPr>
                <w:rFonts w:cstheme="minorHAnsi"/>
                <w:b/>
                <w:bCs/>
                <w:i/>
                <w:iCs/>
                <w:color w:val="002060"/>
              </w:rPr>
              <w:t>Normal, annual adjustments under the regulations.  Share with your compliance staff and update policies and procedures accordingly.</w:t>
            </w:r>
          </w:p>
          <w:p w14:paraId="7FE2C72B" w14:textId="2D279762" w:rsidR="007E7744" w:rsidRPr="007E7744" w:rsidRDefault="007E7744" w:rsidP="007E7744">
            <w:pPr>
              <w:rPr>
                <w:rFonts w:cstheme="minorHAnsi"/>
              </w:rPr>
            </w:pPr>
          </w:p>
        </w:tc>
      </w:tr>
      <w:tr w:rsidR="009D7BD3" w:rsidRPr="001E0B8E" w14:paraId="7B701CB2" w14:textId="77777777" w:rsidTr="007E7744">
        <w:tc>
          <w:tcPr>
            <w:tcW w:w="978" w:type="dxa"/>
            <w:shd w:val="clear" w:color="auto" w:fill="auto"/>
          </w:tcPr>
          <w:p w14:paraId="7AC42D0E" w14:textId="77777777" w:rsidR="009D7BD3" w:rsidRPr="001E0B8E" w:rsidRDefault="009D7BD3" w:rsidP="00EE3D72">
            <w:pPr>
              <w:tabs>
                <w:tab w:val="left" w:pos="500"/>
              </w:tabs>
              <w:rPr>
                <w:color w:val="00B050"/>
              </w:rPr>
            </w:pPr>
          </w:p>
        </w:tc>
        <w:tc>
          <w:tcPr>
            <w:tcW w:w="8372" w:type="dxa"/>
          </w:tcPr>
          <w:p w14:paraId="53017EF3" w14:textId="77777777" w:rsidR="009D7BD3" w:rsidRPr="003E55E9" w:rsidRDefault="009D7BD3" w:rsidP="003E55E9">
            <w:pPr>
              <w:rPr>
                <w:rFonts w:cstheme="minorHAnsi"/>
                <w:b/>
                <w:bCs/>
              </w:rPr>
            </w:pPr>
          </w:p>
        </w:tc>
      </w:tr>
      <w:tr w:rsidR="007E7744" w:rsidRPr="001E0B8E" w14:paraId="3A1DD353" w14:textId="77777777" w:rsidTr="007E7744">
        <w:tc>
          <w:tcPr>
            <w:tcW w:w="978" w:type="dxa"/>
            <w:shd w:val="clear" w:color="auto" w:fill="00B050"/>
          </w:tcPr>
          <w:p w14:paraId="2696FCE4" w14:textId="77777777" w:rsidR="007E7744" w:rsidRPr="001E0B8E" w:rsidRDefault="007E7744" w:rsidP="00EE3D72">
            <w:pPr>
              <w:tabs>
                <w:tab w:val="left" w:pos="500"/>
              </w:tabs>
              <w:rPr>
                <w:color w:val="00B050"/>
              </w:rPr>
            </w:pPr>
          </w:p>
        </w:tc>
        <w:tc>
          <w:tcPr>
            <w:tcW w:w="8372" w:type="dxa"/>
          </w:tcPr>
          <w:p w14:paraId="3DFA4979" w14:textId="59869FFB" w:rsidR="006E6832" w:rsidRDefault="007E7744" w:rsidP="006E6832">
            <w:pPr>
              <w:rPr>
                <w:rFonts w:cstheme="minorHAnsi"/>
              </w:rPr>
            </w:pPr>
            <w:r w:rsidRPr="006E6832">
              <w:rPr>
                <w:rFonts w:cstheme="minorHAnsi"/>
                <w:b/>
                <w:bCs/>
              </w:rPr>
              <w:t>FRB</w:t>
            </w:r>
            <w:r w:rsidRPr="006E6832">
              <w:rPr>
                <w:rFonts w:cstheme="minorHAnsi"/>
              </w:rPr>
              <w:t xml:space="preserve"> </w:t>
            </w:r>
            <w:hyperlink r:id="rId23" w:history="1">
              <w:r w:rsidR="006E6832" w:rsidRPr="006E6832">
                <w:rPr>
                  <w:rStyle w:val="Hyperlink"/>
                  <w:rFonts w:cstheme="minorHAnsi"/>
                </w:rPr>
                <w:t>Senior Credit Officer Opinion Survey on Dealer Financing Terms</w:t>
              </w:r>
            </w:hyperlink>
            <w:r w:rsidR="006E6832">
              <w:rPr>
                <w:rFonts w:cstheme="minorHAnsi"/>
              </w:rPr>
              <w:t xml:space="preserve"> (12.22.2022) - </w:t>
            </w:r>
            <w:r w:rsidR="006E6832" w:rsidRPr="006E6832">
              <w:rPr>
                <w:rFonts w:cstheme="minorHAnsi"/>
              </w:rPr>
              <w:t xml:space="preserve">The Senior Credit Officer Opinion Survey on Dealer Financing Terms (SCOOS) is a quarterly survey providing information about the availability and terms of credit in securities financing and over-the counter (OTC) derivatives markets. The SCOOS is modeled after the long-established Senior Loan Officer Opinion Survey on Bank Lending Practices, which provides qualitative information about changes in supply and demand for loans to households and businesses at commercial banks. The SCOOS collects qualitative information on credit terms and conditions in securities financing and OTC derivatives markets, which are important conduits for leverage in the financial system. The survey panel for the SCOOS began by including 20 dealers and over time has been expanded. These firms account for almost </w:t>
            </w:r>
            <w:proofErr w:type="gramStart"/>
            <w:r w:rsidR="006E6832" w:rsidRPr="006E6832">
              <w:rPr>
                <w:rFonts w:cstheme="minorHAnsi"/>
              </w:rPr>
              <w:t>all of</w:t>
            </w:r>
            <w:proofErr w:type="gramEnd"/>
            <w:r w:rsidR="006E6832" w:rsidRPr="006E6832">
              <w:rPr>
                <w:rFonts w:cstheme="minorHAnsi"/>
              </w:rPr>
              <w:t xml:space="preserve"> the dealer activity in dollar-denominated securities financing and OTC derivatives markets. The survey is directed to senior credit officers responsible for maintaining a consolidated perspective on the management of credit risks. </w:t>
            </w:r>
          </w:p>
          <w:p w14:paraId="097073F9" w14:textId="4ADC4185" w:rsidR="006E6832" w:rsidRPr="006E6832" w:rsidRDefault="006E6832" w:rsidP="00C90B9E">
            <w:pPr>
              <w:rPr>
                <w:rFonts w:cstheme="minorHAnsi"/>
              </w:rPr>
            </w:pPr>
          </w:p>
        </w:tc>
      </w:tr>
      <w:tr w:rsidR="007E7744" w:rsidRPr="001E0B8E" w14:paraId="3DAC78BF" w14:textId="77777777" w:rsidTr="007E7744">
        <w:tc>
          <w:tcPr>
            <w:tcW w:w="978" w:type="dxa"/>
            <w:shd w:val="clear" w:color="auto" w:fill="auto"/>
          </w:tcPr>
          <w:p w14:paraId="3541BC7C" w14:textId="77777777" w:rsidR="007E7744" w:rsidRPr="001E0B8E" w:rsidRDefault="007E7744" w:rsidP="00EE3D72">
            <w:pPr>
              <w:tabs>
                <w:tab w:val="left" w:pos="500"/>
              </w:tabs>
              <w:rPr>
                <w:color w:val="00B050"/>
              </w:rPr>
            </w:pPr>
          </w:p>
        </w:tc>
        <w:tc>
          <w:tcPr>
            <w:tcW w:w="8372" w:type="dxa"/>
          </w:tcPr>
          <w:p w14:paraId="35E8C3CE" w14:textId="77777777" w:rsidR="007E7744" w:rsidRPr="003E55E9" w:rsidRDefault="007E7744" w:rsidP="003E55E9">
            <w:pPr>
              <w:rPr>
                <w:rFonts w:cstheme="minorHAnsi"/>
                <w:b/>
                <w:bCs/>
              </w:rPr>
            </w:pPr>
          </w:p>
        </w:tc>
      </w:tr>
      <w:tr w:rsidR="003E55E9" w:rsidRPr="001E0B8E" w14:paraId="4ECB4C8F" w14:textId="77777777" w:rsidTr="00A65700">
        <w:tc>
          <w:tcPr>
            <w:tcW w:w="978" w:type="dxa"/>
            <w:shd w:val="clear" w:color="auto" w:fill="00B050"/>
          </w:tcPr>
          <w:p w14:paraId="66539800" w14:textId="77777777" w:rsidR="003E55E9" w:rsidRPr="001E0B8E" w:rsidRDefault="003E55E9" w:rsidP="00EE3D72">
            <w:pPr>
              <w:tabs>
                <w:tab w:val="left" w:pos="500"/>
              </w:tabs>
              <w:rPr>
                <w:color w:val="00B050"/>
              </w:rPr>
            </w:pPr>
          </w:p>
        </w:tc>
        <w:tc>
          <w:tcPr>
            <w:tcW w:w="8372" w:type="dxa"/>
          </w:tcPr>
          <w:p w14:paraId="3CD30139" w14:textId="6FCC7C57" w:rsidR="003E55E9" w:rsidRPr="003E55E9" w:rsidRDefault="003E55E9" w:rsidP="003E55E9">
            <w:pPr>
              <w:rPr>
                <w:rFonts w:cstheme="minorHAnsi"/>
              </w:rPr>
            </w:pPr>
            <w:r w:rsidRPr="003E55E9">
              <w:rPr>
                <w:rFonts w:cstheme="minorHAnsi"/>
                <w:b/>
                <w:bCs/>
              </w:rPr>
              <w:t>Joint</w:t>
            </w:r>
            <w:r w:rsidRPr="003E55E9">
              <w:rPr>
                <w:rFonts w:cstheme="minorHAnsi"/>
              </w:rPr>
              <w:t xml:space="preserve"> </w:t>
            </w:r>
            <w:hyperlink r:id="rId24" w:history="1">
              <w:r w:rsidRPr="003E55E9">
                <w:rPr>
                  <w:rStyle w:val="Hyperlink"/>
                  <w:rFonts w:cstheme="minorHAnsi"/>
                </w:rPr>
                <w:t>Agencies Release Annual Asset-Size Thresholds Under Community Reinvestment Act Regulations</w:t>
              </w:r>
            </w:hyperlink>
            <w:r>
              <w:rPr>
                <w:rFonts w:cstheme="minorHAnsi"/>
              </w:rPr>
              <w:t xml:space="preserve"> (12.19.2022) - </w:t>
            </w:r>
            <w:r w:rsidRPr="003E55E9">
              <w:rPr>
                <w:rFonts w:cstheme="minorHAnsi"/>
              </w:rPr>
              <w:t xml:space="preserve">The Federal Reserve Board and the Federal Deposit Insurance Corporation announced the 2023 updated asset-size thresholds used to define “small bank” and “intermediate small bank” under their Community Reinvestment Act (CRA) regulations. </w:t>
            </w:r>
          </w:p>
          <w:p w14:paraId="05E2B244" w14:textId="77777777" w:rsidR="003E55E9" w:rsidRPr="003E55E9" w:rsidRDefault="003E55E9" w:rsidP="003E55E9">
            <w:pPr>
              <w:rPr>
                <w:rFonts w:cstheme="minorHAnsi"/>
              </w:rPr>
            </w:pPr>
          </w:p>
          <w:p w14:paraId="64DD83E9" w14:textId="77777777" w:rsidR="003E55E9" w:rsidRPr="003E55E9" w:rsidRDefault="003E55E9" w:rsidP="003E55E9">
            <w:pPr>
              <w:rPr>
                <w:rFonts w:cstheme="minorHAnsi"/>
              </w:rPr>
            </w:pPr>
            <w:r w:rsidRPr="003E55E9">
              <w:rPr>
                <w:rFonts w:cstheme="minorHAnsi"/>
              </w:rPr>
              <w:t>Annual adjustments to these asset-size thresholds are based on the average change in the Consumer Price Index for Urban Wage Earners and Clerical Workers (CPI–W), which is a measure of inflation.</w:t>
            </w:r>
          </w:p>
          <w:p w14:paraId="211A7E1A" w14:textId="77777777" w:rsidR="003E55E9" w:rsidRPr="003E55E9" w:rsidRDefault="003E55E9" w:rsidP="003E55E9">
            <w:pPr>
              <w:rPr>
                <w:rFonts w:cstheme="minorHAnsi"/>
              </w:rPr>
            </w:pPr>
          </w:p>
          <w:p w14:paraId="106479F9" w14:textId="77777777" w:rsidR="003E55E9" w:rsidRPr="003E55E9" w:rsidRDefault="003E55E9" w:rsidP="003E55E9">
            <w:pPr>
              <w:rPr>
                <w:rFonts w:cstheme="minorHAnsi"/>
              </w:rPr>
            </w:pPr>
            <w:r w:rsidRPr="003E55E9">
              <w:rPr>
                <w:rFonts w:cstheme="minorHAnsi"/>
              </w:rPr>
              <w:t>As a result of the 8.60 percent increase in the CPI–W for the period ending in November 2022, the definitions of small and intermediate small banks for CRA examinations will change as follows:</w:t>
            </w:r>
          </w:p>
          <w:p w14:paraId="79A806B7" w14:textId="77777777" w:rsidR="003E55E9" w:rsidRPr="003E55E9" w:rsidRDefault="003E55E9" w:rsidP="003E55E9">
            <w:pPr>
              <w:rPr>
                <w:rFonts w:cstheme="minorHAnsi"/>
              </w:rPr>
            </w:pPr>
          </w:p>
          <w:p w14:paraId="3E16A2B3" w14:textId="77777777" w:rsidR="003E55E9" w:rsidRPr="003C5160" w:rsidRDefault="003E55E9" w:rsidP="003C5160">
            <w:pPr>
              <w:pStyle w:val="ListParagraph"/>
              <w:numPr>
                <w:ilvl w:val="0"/>
                <w:numId w:val="40"/>
              </w:numPr>
              <w:rPr>
                <w:rFonts w:cstheme="minorHAnsi"/>
              </w:rPr>
            </w:pPr>
            <w:r w:rsidRPr="003C5160">
              <w:rPr>
                <w:rFonts w:cstheme="minorHAnsi"/>
              </w:rPr>
              <w:t>Small bank means an institution that, as of December 31 of either of the prior two calendar years, had assets of less than $1.503 billion.</w:t>
            </w:r>
          </w:p>
          <w:p w14:paraId="056C8F90" w14:textId="5DCB800F" w:rsidR="003E55E9" w:rsidRDefault="003E55E9" w:rsidP="003C5160">
            <w:pPr>
              <w:pStyle w:val="ListParagraph"/>
              <w:numPr>
                <w:ilvl w:val="0"/>
                <w:numId w:val="40"/>
              </w:numPr>
              <w:rPr>
                <w:rFonts w:cstheme="minorHAnsi"/>
              </w:rPr>
            </w:pPr>
            <w:r w:rsidRPr="003C5160">
              <w:rPr>
                <w:rFonts w:cstheme="minorHAnsi"/>
              </w:rPr>
              <w:lastRenderedPageBreak/>
              <w:t xml:space="preserve">Intermediate small bank means a small institution with assets of at least $376 million as of December 31 of </w:t>
            </w:r>
            <w:proofErr w:type="gramStart"/>
            <w:r w:rsidRPr="003C5160">
              <w:rPr>
                <w:rFonts w:cstheme="minorHAnsi"/>
              </w:rPr>
              <w:t>both of the prior</w:t>
            </w:r>
            <w:proofErr w:type="gramEnd"/>
            <w:r w:rsidRPr="003C5160">
              <w:rPr>
                <w:rFonts w:cstheme="minorHAnsi"/>
              </w:rPr>
              <w:t xml:space="preserve"> two calendar years and less than $1.503 billion as of December 31 of either of the prior two calendar years.</w:t>
            </w:r>
          </w:p>
          <w:p w14:paraId="62FC9DB5" w14:textId="77777777" w:rsidR="003C5160" w:rsidRPr="003C5160" w:rsidRDefault="003C5160" w:rsidP="003C5160">
            <w:pPr>
              <w:pStyle w:val="ListParagraph"/>
              <w:rPr>
                <w:rFonts w:cstheme="minorHAnsi"/>
              </w:rPr>
            </w:pPr>
          </w:p>
          <w:p w14:paraId="30CC3552" w14:textId="77777777" w:rsidR="003E55E9" w:rsidRPr="003E55E9" w:rsidRDefault="003E55E9" w:rsidP="003E55E9">
            <w:pPr>
              <w:rPr>
                <w:rFonts w:cstheme="minorHAnsi"/>
              </w:rPr>
            </w:pPr>
            <w:r w:rsidRPr="003E55E9">
              <w:rPr>
                <w:rFonts w:cstheme="minorHAnsi"/>
              </w:rPr>
              <w:t>The CRA regulations establish the framework and criteria by which the relevant agencies assess a financial institution’s record of helping to meet the credit needs of its community, including low– and moderate–income neighborhoods, consistent with safe and sound operations.  Financial institutions are evaluated under different CRA examination procedures based upon their asset–size classification.  For example, banks meeting the small and intermediate small bank asset–size thresholds are not subject to the reporting requirements applicable to large banks unless they choose to be evaluated as a large bank.</w:t>
            </w:r>
          </w:p>
          <w:p w14:paraId="2526527F" w14:textId="77777777" w:rsidR="003E55E9" w:rsidRPr="003E55E9" w:rsidRDefault="003E55E9" w:rsidP="003E55E9">
            <w:pPr>
              <w:rPr>
                <w:rFonts w:cstheme="minorHAnsi"/>
              </w:rPr>
            </w:pPr>
          </w:p>
          <w:p w14:paraId="4A37A575" w14:textId="77777777" w:rsidR="003E55E9" w:rsidRPr="003E55E9" w:rsidRDefault="003E55E9" w:rsidP="003E55E9">
            <w:pPr>
              <w:rPr>
                <w:rFonts w:cstheme="minorHAnsi"/>
              </w:rPr>
            </w:pPr>
            <w:r w:rsidRPr="003E55E9">
              <w:rPr>
                <w:rFonts w:cstheme="minorHAnsi"/>
              </w:rPr>
              <w:t>These asset–size thresholds are effective January 1, 2023.  A list of the current and historical asset–size thresholds is available here.</w:t>
            </w:r>
          </w:p>
          <w:p w14:paraId="53D352BE" w14:textId="77777777" w:rsidR="003E55E9" w:rsidRPr="003E55E9" w:rsidRDefault="003E55E9" w:rsidP="003E55E9">
            <w:pPr>
              <w:rPr>
                <w:rFonts w:cstheme="minorHAnsi"/>
              </w:rPr>
            </w:pPr>
          </w:p>
          <w:p w14:paraId="6D1A29AC" w14:textId="2BBE7BC7" w:rsidR="003E55E9" w:rsidRPr="003E55E9" w:rsidRDefault="003E55E9" w:rsidP="003E55E9">
            <w:pPr>
              <w:rPr>
                <w:rFonts w:cstheme="minorHAnsi"/>
              </w:rPr>
            </w:pPr>
            <w:r>
              <w:rPr>
                <w:rFonts w:cstheme="minorHAnsi"/>
              </w:rPr>
              <w:t xml:space="preserve">Attachments: </w:t>
            </w:r>
          </w:p>
          <w:p w14:paraId="1FBDA5D8" w14:textId="77777777" w:rsidR="003E55E9" w:rsidRPr="003E55E9" w:rsidRDefault="003E55E9" w:rsidP="003E55E9">
            <w:pPr>
              <w:rPr>
                <w:rFonts w:cstheme="minorHAnsi"/>
              </w:rPr>
            </w:pPr>
          </w:p>
          <w:p w14:paraId="0CF69ED9" w14:textId="4F5586E9" w:rsidR="003E55E9" w:rsidRDefault="00000000" w:rsidP="003E55E9">
            <w:pPr>
              <w:rPr>
                <w:rFonts w:cstheme="minorHAnsi"/>
              </w:rPr>
            </w:pPr>
            <w:hyperlink r:id="rId25" w:history="1">
              <w:r w:rsidR="003E55E9" w:rsidRPr="003E55E9">
                <w:rPr>
                  <w:rStyle w:val="Hyperlink"/>
                  <w:rFonts w:cstheme="minorHAnsi"/>
                </w:rPr>
                <w:t>Joint final rule</w:t>
              </w:r>
            </w:hyperlink>
          </w:p>
          <w:p w14:paraId="3C46137D" w14:textId="77777777" w:rsidR="003E55E9" w:rsidRDefault="003E55E9" w:rsidP="003E55E9">
            <w:pPr>
              <w:rPr>
                <w:rFonts w:cstheme="minorHAnsi"/>
              </w:rPr>
            </w:pPr>
          </w:p>
          <w:p w14:paraId="67666851" w14:textId="6DC878F4" w:rsidR="003E55E9" w:rsidRDefault="003E55E9" w:rsidP="003E55E9">
            <w:pPr>
              <w:rPr>
                <w:rFonts w:cstheme="minorHAnsi"/>
                <w:b/>
                <w:bCs/>
                <w:i/>
                <w:iCs/>
                <w:color w:val="002060"/>
              </w:rPr>
            </w:pPr>
            <w:r w:rsidRPr="002B4A9D">
              <w:rPr>
                <w:rFonts w:cstheme="minorHAnsi"/>
                <w:b/>
                <w:bCs/>
                <w:i/>
                <w:iCs/>
                <w:color w:val="002060"/>
              </w:rPr>
              <w:t xml:space="preserve">Comment: </w:t>
            </w:r>
            <w:r w:rsidR="00C90B9E" w:rsidRPr="00C90B9E">
              <w:rPr>
                <w:rFonts w:cstheme="minorHAnsi"/>
                <w:b/>
                <w:bCs/>
                <w:i/>
                <w:iCs/>
                <w:color w:val="002060"/>
              </w:rPr>
              <w:t>Normal, annual adjustments under the regulations.  Share with your compliance staff and update policies and procedures accordingly.</w:t>
            </w:r>
          </w:p>
          <w:p w14:paraId="2FFB17C2" w14:textId="6C38977D" w:rsidR="003E55E9" w:rsidRPr="003E55E9" w:rsidRDefault="003E55E9" w:rsidP="003E55E9">
            <w:pPr>
              <w:rPr>
                <w:rFonts w:cstheme="minorHAnsi"/>
              </w:rPr>
            </w:pPr>
          </w:p>
        </w:tc>
      </w:tr>
      <w:tr w:rsidR="003E55E9" w:rsidRPr="001E0B8E" w14:paraId="11F146E3" w14:textId="77777777" w:rsidTr="003E55E9">
        <w:tc>
          <w:tcPr>
            <w:tcW w:w="978" w:type="dxa"/>
            <w:shd w:val="clear" w:color="auto" w:fill="auto"/>
          </w:tcPr>
          <w:p w14:paraId="164F3257" w14:textId="77777777" w:rsidR="003E55E9" w:rsidRPr="001E0B8E" w:rsidRDefault="003E55E9" w:rsidP="00EE3D72">
            <w:pPr>
              <w:tabs>
                <w:tab w:val="left" w:pos="500"/>
              </w:tabs>
              <w:rPr>
                <w:color w:val="00B050"/>
              </w:rPr>
            </w:pPr>
          </w:p>
        </w:tc>
        <w:tc>
          <w:tcPr>
            <w:tcW w:w="8372" w:type="dxa"/>
          </w:tcPr>
          <w:p w14:paraId="774AF6F7" w14:textId="77777777" w:rsidR="003E55E9" w:rsidRPr="002B4A9D" w:rsidRDefault="003E55E9" w:rsidP="002B4A9D">
            <w:pPr>
              <w:rPr>
                <w:rFonts w:cstheme="minorHAnsi"/>
                <w:b/>
                <w:bCs/>
              </w:rPr>
            </w:pPr>
          </w:p>
        </w:tc>
      </w:tr>
      <w:tr w:rsidR="00911EF6" w:rsidRPr="001E0B8E" w14:paraId="4FC2EC73" w14:textId="77777777" w:rsidTr="00A061F4">
        <w:tc>
          <w:tcPr>
            <w:tcW w:w="978" w:type="dxa"/>
            <w:shd w:val="clear" w:color="auto" w:fill="FFFF00"/>
          </w:tcPr>
          <w:p w14:paraId="5F5DFBDC" w14:textId="77777777" w:rsidR="00911EF6" w:rsidRPr="001E0B8E" w:rsidRDefault="00911EF6" w:rsidP="00EE3D72">
            <w:pPr>
              <w:tabs>
                <w:tab w:val="left" w:pos="500"/>
              </w:tabs>
              <w:rPr>
                <w:color w:val="00B050"/>
              </w:rPr>
            </w:pPr>
          </w:p>
        </w:tc>
        <w:tc>
          <w:tcPr>
            <w:tcW w:w="8372" w:type="dxa"/>
          </w:tcPr>
          <w:p w14:paraId="3653DD59" w14:textId="63E82892" w:rsidR="00911EF6" w:rsidRPr="00911EF6" w:rsidRDefault="00911EF6" w:rsidP="00911EF6">
            <w:pPr>
              <w:rPr>
                <w:rFonts w:cstheme="minorHAnsi"/>
              </w:rPr>
            </w:pPr>
            <w:r w:rsidRPr="00911EF6">
              <w:rPr>
                <w:rFonts w:cstheme="minorHAnsi"/>
                <w:b/>
                <w:bCs/>
              </w:rPr>
              <w:t>FRB</w:t>
            </w:r>
            <w:r w:rsidRPr="00911EF6">
              <w:rPr>
                <w:rFonts w:cstheme="minorHAnsi"/>
              </w:rPr>
              <w:t xml:space="preserve"> </w:t>
            </w:r>
            <w:hyperlink r:id="rId26" w:history="1">
              <w:r w:rsidRPr="00911EF6">
                <w:rPr>
                  <w:rStyle w:val="Hyperlink"/>
                  <w:rFonts w:cstheme="minorHAnsi"/>
                </w:rPr>
                <w:t>Adopts Final Rule That Implements Adjustable Interest Rate (LIBOR) Act by Identifying Benchmark Rates Based on SOFR (Secured Overnight Financing Rate) That Will Replace LIBOR in Certain Financial Contracts After June 30, 2023</w:t>
              </w:r>
            </w:hyperlink>
            <w:r>
              <w:rPr>
                <w:rFonts w:cstheme="minorHAnsi"/>
              </w:rPr>
              <w:t xml:space="preserve"> (12.16.2022) - </w:t>
            </w:r>
            <w:r w:rsidRPr="00911EF6">
              <w:rPr>
                <w:rFonts w:cstheme="minorHAnsi"/>
              </w:rPr>
              <w:t xml:space="preserve">The Federal Reserve Board adopted a final rule that implements the Adjustable Interest Rate (LIBOR) Act by identifying benchmark rates based on SOFR (Secured Overnight Financing Rate) that will replace LIBOR in certain financial contracts after June 30, 2023. The final rule is substantially </w:t>
            </w:r>
            <w:proofErr w:type="gramStart"/>
            <w:r w:rsidRPr="00911EF6">
              <w:rPr>
                <w:rFonts w:cstheme="minorHAnsi"/>
              </w:rPr>
              <w:t>similar to</w:t>
            </w:r>
            <w:proofErr w:type="gramEnd"/>
            <w:r w:rsidRPr="00911EF6">
              <w:rPr>
                <w:rFonts w:cstheme="minorHAnsi"/>
              </w:rPr>
              <w:t xml:space="preserve"> the proposal with certain clarifying changes made in response to comments.</w:t>
            </w:r>
          </w:p>
          <w:p w14:paraId="4A5F65B0" w14:textId="77777777" w:rsidR="00911EF6" w:rsidRPr="00911EF6" w:rsidRDefault="00911EF6" w:rsidP="00911EF6">
            <w:pPr>
              <w:rPr>
                <w:rFonts w:cstheme="minorHAnsi"/>
              </w:rPr>
            </w:pPr>
          </w:p>
          <w:p w14:paraId="48CD0048" w14:textId="77777777" w:rsidR="00911EF6" w:rsidRPr="00911EF6" w:rsidRDefault="00911EF6" w:rsidP="00911EF6">
            <w:pPr>
              <w:rPr>
                <w:rFonts w:cstheme="minorHAnsi"/>
              </w:rPr>
            </w:pPr>
            <w:r w:rsidRPr="00911EF6">
              <w:rPr>
                <w:rFonts w:cstheme="minorHAnsi"/>
              </w:rPr>
              <w:t>LIBOR, formerly known as the London Interbank Offered Rate, was the dominant benchmark rate used in financial contracts for decades. However, it was fragile and subject to manipulation, and U.S. dollar LIBOR panels will end after June 30, 2023.</w:t>
            </w:r>
          </w:p>
          <w:p w14:paraId="7B90A0D8" w14:textId="77777777" w:rsidR="00911EF6" w:rsidRPr="00911EF6" w:rsidRDefault="00911EF6" w:rsidP="00911EF6">
            <w:pPr>
              <w:rPr>
                <w:rFonts w:cstheme="minorHAnsi"/>
              </w:rPr>
            </w:pPr>
          </w:p>
          <w:p w14:paraId="767784BD" w14:textId="77777777" w:rsidR="00911EF6" w:rsidRPr="00911EF6" w:rsidRDefault="00911EF6" w:rsidP="00911EF6">
            <w:pPr>
              <w:rPr>
                <w:rFonts w:cstheme="minorHAnsi"/>
              </w:rPr>
            </w:pPr>
            <w:r w:rsidRPr="00911EF6">
              <w:rPr>
                <w:rFonts w:cstheme="minorHAnsi"/>
              </w:rPr>
              <w:t>Congress enacted the LIBOR Act to provide a uniform, nationwide solution for so-called tough legacy contracts that do not have clear and practicable provisions for replacing LIBOR after June 30, 2023. As required by the law, the final rule identifies replacement benchmark rates based on SOFR to replace overnight, one-month, three-month, six-month, and 12-month LIBOR in contracts subject to the Act. These contracts include U.S. contracts that do not mature before LIBOR ends and that lack adequate "fallback" provisions that would replace LIBOR with a practicable replacement benchmark rate.</w:t>
            </w:r>
          </w:p>
          <w:p w14:paraId="622C33AE" w14:textId="77777777" w:rsidR="00911EF6" w:rsidRPr="00911EF6" w:rsidRDefault="00911EF6" w:rsidP="00911EF6">
            <w:pPr>
              <w:rPr>
                <w:rFonts w:cstheme="minorHAnsi"/>
              </w:rPr>
            </w:pPr>
          </w:p>
          <w:p w14:paraId="54C77F23" w14:textId="77777777" w:rsidR="00911EF6" w:rsidRPr="00911EF6" w:rsidRDefault="00911EF6" w:rsidP="00911EF6">
            <w:pPr>
              <w:rPr>
                <w:rFonts w:cstheme="minorHAnsi"/>
              </w:rPr>
            </w:pPr>
            <w:r w:rsidRPr="00911EF6">
              <w:rPr>
                <w:rFonts w:cstheme="minorHAnsi"/>
              </w:rPr>
              <w:t xml:space="preserve">In response to comments, the final rule restates safe harbor protections contained in the LIBOR Act for selection or use of the replacement benchmark rate selected by the </w:t>
            </w:r>
            <w:proofErr w:type="gramStart"/>
            <w:r w:rsidRPr="00911EF6">
              <w:rPr>
                <w:rFonts w:cstheme="minorHAnsi"/>
              </w:rPr>
              <w:t>Board, and</w:t>
            </w:r>
            <w:proofErr w:type="gramEnd"/>
            <w:r w:rsidRPr="00911EF6">
              <w:rPr>
                <w:rFonts w:cstheme="minorHAnsi"/>
              </w:rPr>
              <w:t xml:space="preserve"> clarifies who would be considered a "determining person" able to choose to use the replacement benchmark rate selected by the Board for use for certain LIBOR contracts. </w:t>
            </w:r>
            <w:r w:rsidRPr="00911EF6">
              <w:rPr>
                <w:rFonts w:cstheme="minorHAnsi"/>
              </w:rPr>
              <w:lastRenderedPageBreak/>
              <w:t>Consistent with the LIBOR Act, the final rule also ensures that LIBOR contracts adopting a benchmark rate selected by the Board will not be interrupted or terminated following LIBOR's replacement.</w:t>
            </w:r>
          </w:p>
          <w:p w14:paraId="04655542" w14:textId="77777777" w:rsidR="00911EF6" w:rsidRPr="00911EF6" w:rsidRDefault="00911EF6" w:rsidP="00911EF6">
            <w:pPr>
              <w:rPr>
                <w:rFonts w:cstheme="minorHAnsi"/>
              </w:rPr>
            </w:pPr>
          </w:p>
          <w:p w14:paraId="3E847BE6" w14:textId="77777777" w:rsidR="00911EF6" w:rsidRPr="00911EF6" w:rsidRDefault="00911EF6" w:rsidP="00911EF6">
            <w:pPr>
              <w:rPr>
                <w:rFonts w:cstheme="minorHAnsi"/>
              </w:rPr>
            </w:pPr>
            <w:r w:rsidRPr="00911EF6">
              <w:rPr>
                <w:rFonts w:cstheme="minorHAnsi"/>
              </w:rPr>
              <w:t>The final rule will be effective 30 days after publication in the Federal Register.</w:t>
            </w:r>
          </w:p>
          <w:p w14:paraId="7B9205DC" w14:textId="77777777" w:rsidR="00911EF6" w:rsidRPr="00911EF6" w:rsidRDefault="00911EF6" w:rsidP="00911EF6">
            <w:pPr>
              <w:rPr>
                <w:rFonts w:cstheme="minorHAnsi"/>
              </w:rPr>
            </w:pPr>
          </w:p>
          <w:p w14:paraId="2BF7CAED" w14:textId="77777777" w:rsidR="00911EF6" w:rsidRPr="00911EF6" w:rsidRDefault="00911EF6" w:rsidP="00911EF6">
            <w:pPr>
              <w:rPr>
                <w:rFonts w:cstheme="minorHAnsi"/>
              </w:rPr>
            </w:pPr>
            <w:r w:rsidRPr="00911EF6">
              <w:rPr>
                <w:rFonts w:cstheme="minorHAnsi"/>
              </w:rPr>
              <w:t>For media inquiries, please email media@frb.gov or call (202) 452-2955.</w:t>
            </w:r>
          </w:p>
          <w:p w14:paraId="5C309F44" w14:textId="77777777" w:rsidR="00911EF6" w:rsidRPr="00911EF6" w:rsidRDefault="00911EF6" w:rsidP="00911EF6">
            <w:pPr>
              <w:rPr>
                <w:rFonts w:cstheme="minorHAnsi"/>
              </w:rPr>
            </w:pPr>
          </w:p>
          <w:p w14:paraId="6A157D35" w14:textId="77777777" w:rsidR="00911EF6" w:rsidRDefault="00911EF6" w:rsidP="00911EF6">
            <w:pPr>
              <w:rPr>
                <w:rFonts w:cstheme="minorHAnsi"/>
              </w:rPr>
            </w:pPr>
            <w:r w:rsidRPr="00911EF6">
              <w:rPr>
                <w:rFonts w:cstheme="minorHAnsi"/>
              </w:rPr>
              <w:t>Note: On December 16, 2022, the headline for this release was updated to correct the date when LIBOR will be replaced in certain contracts. The rule will be effective 30 days after publication in the Federal Register.</w:t>
            </w:r>
          </w:p>
          <w:p w14:paraId="7446FE9C" w14:textId="77777777" w:rsidR="00911EF6" w:rsidRDefault="00911EF6" w:rsidP="00911EF6">
            <w:pPr>
              <w:rPr>
                <w:rFonts w:cstheme="minorHAnsi"/>
              </w:rPr>
            </w:pPr>
          </w:p>
          <w:p w14:paraId="143C38E2" w14:textId="258AF517" w:rsidR="00911EF6" w:rsidRDefault="00911EF6" w:rsidP="00911EF6">
            <w:pPr>
              <w:rPr>
                <w:rFonts w:cstheme="minorHAnsi"/>
                <w:b/>
                <w:bCs/>
                <w:i/>
                <w:iCs/>
                <w:color w:val="002060"/>
              </w:rPr>
            </w:pPr>
            <w:r w:rsidRPr="002B4A9D">
              <w:rPr>
                <w:rFonts w:cstheme="minorHAnsi"/>
                <w:b/>
                <w:bCs/>
                <w:i/>
                <w:iCs/>
                <w:color w:val="002060"/>
              </w:rPr>
              <w:t xml:space="preserve">Comment: </w:t>
            </w:r>
            <w:r w:rsidR="00C90B9E">
              <w:rPr>
                <w:rFonts w:cstheme="minorHAnsi"/>
                <w:b/>
                <w:bCs/>
                <w:i/>
                <w:iCs/>
                <w:color w:val="002060"/>
              </w:rPr>
              <w:t>T</w:t>
            </w:r>
            <w:r w:rsidR="00C90B9E" w:rsidRPr="00C90B9E">
              <w:rPr>
                <w:rFonts w:cstheme="minorHAnsi"/>
                <w:b/>
                <w:bCs/>
                <w:i/>
                <w:iCs/>
                <w:color w:val="002060"/>
              </w:rPr>
              <w:t xml:space="preserve">he most significant date is the first London banking day after June 30, 2023, which is the “LIBOR replacement date” referred to in the Act and the Rule. </w:t>
            </w:r>
            <w:r w:rsidR="00C90B9E">
              <w:rPr>
                <w:rFonts w:cstheme="minorHAnsi"/>
                <w:b/>
                <w:bCs/>
                <w:i/>
                <w:iCs/>
                <w:color w:val="002060"/>
              </w:rPr>
              <w:t xml:space="preserve"> </w:t>
            </w:r>
            <w:r w:rsidR="00C90B9E" w:rsidRPr="00C90B9E">
              <w:rPr>
                <w:rFonts w:cstheme="minorHAnsi"/>
                <w:b/>
                <w:bCs/>
                <w:i/>
                <w:iCs/>
                <w:color w:val="002060"/>
              </w:rPr>
              <w:t xml:space="preserve">The Act and the Rule apply only to contracts governed by U.S. law (including the law of any U.S. state) that use U.S. dollar LIBOR of overnight, one-month, three-month, six-month, and 12-month tenors.  </w:t>
            </w:r>
          </w:p>
          <w:p w14:paraId="3393FFA3" w14:textId="55713D3C" w:rsidR="00911EF6" w:rsidRPr="00911EF6" w:rsidRDefault="00911EF6" w:rsidP="00911EF6">
            <w:pPr>
              <w:rPr>
                <w:rFonts w:cstheme="minorHAnsi"/>
              </w:rPr>
            </w:pPr>
          </w:p>
        </w:tc>
      </w:tr>
      <w:tr w:rsidR="007E7744" w:rsidRPr="001E0B8E" w14:paraId="2B62E687" w14:textId="77777777" w:rsidTr="00911EF6">
        <w:tc>
          <w:tcPr>
            <w:tcW w:w="978" w:type="dxa"/>
            <w:shd w:val="clear" w:color="auto" w:fill="auto"/>
          </w:tcPr>
          <w:p w14:paraId="0BC77AC0" w14:textId="77777777" w:rsidR="007E7744" w:rsidRPr="001E0B8E" w:rsidRDefault="007E7744" w:rsidP="00EE3D72">
            <w:pPr>
              <w:tabs>
                <w:tab w:val="left" w:pos="500"/>
              </w:tabs>
              <w:rPr>
                <w:color w:val="00B050"/>
              </w:rPr>
            </w:pPr>
          </w:p>
        </w:tc>
        <w:tc>
          <w:tcPr>
            <w:tcW w:w="8372" w:type="dxa"/>
          </w:tcPr>
          <w:p w14:paraId="7EBCC873" w14:textId="77777777" w:rsidR="007E7744" w:rsidRDefault="007E7744" w:rsidP="002B4A9D">
            <w:pPr>
              <w:rPr>
                <w:rFonts w:cstheme="minorHAnsi"/>
                <w:b/>
                <w:bCs/>
              </w:rPr>
            </w:pPr>
          </w:p>
        </w:tc>
      </w:tr>
      <w:tr w:rsidR="007E7744" w:rsidRPr="001E0B8E" w14:paraId="20B74A2C" w14:textId="77777777" w:rsidTr="007E7744">
        <w:tc>
          <w:tcPr>
            <w:tcW w:w="978" w:type="dxa"/>
            <w:shd w:val="clear" w:color="auto" w:fill="FFFF00"/>
          </w:tcPr>
          <w:p w14:paraId="3790E33B" w14:textId="77777777" w:rsidR="007E7744" w:rsidRPr="001E0B8E" w:rsidRDefault="007E7744" w:rsidP="00EE3D72">
            <w:pPr>
              <w:tabs>
                <w:tab w:val="left" w:pos="500"/>
              </w:tabs>
              <w:rPr>
                <w:color w:val="00B050"/>
              </w:rPr>
            </w:pPr>
          </w:p>
        </w:tc>
        <w:tc>
          <w:tcPr>
            <w:tcW w:w="8372" w:type="dxa"/>
          </w:tcPr>
          <w:p w14:paraId="13F0846F" w14:textId="12CAFDC2" w:rsidR="007E7744" w:rsidRPr="00A061F4" w:rsidRDefault="007E7744" w:rsidP="007E7744">
            <w:pPr>
              <w:rPr>
                <w:rFonts w:cstheme="minorHAnsi"/>
              </w:rPr>
            </w:pPr>
            <w:r w:rsidRPr="00A061F4">
              <w:rPr>
                <w:rFonts w:cstheme="minorHAnsi"/>
                <w:b/>
                <w:bCs/>
              </w:rPr>
              <w:t>Joint</w:t>
            </w:r>
            <w:r w:rsidRPr="00A061F4">
              <w:rPr>
                <w:rFonts w:cstheme="minorHAnsi"/>
              </w:rPr>
              <w:t xml:space="preserve"> </w:t>
            </w:r>
            <w:hyperlink r:id="rId27" w:history="1">
              <w:r w:rsidRPr="00A061F4">
                <w:rPr>
                  <w:rStyle w:val="Hyperlink"/>
                  <w:rFonts w:cstheme="minorHAnsi"/>
                </w:rPr>
                <w:t>Fair Debt Collection Practices Act: Revised Interagency Examination Procedures and Rescissions</w:t>
              </w:r>
            </w:hyperlink>
            <w:r>
              <w:rPr>
                <w:rFonts w:cstheme="minorHAnsi"/>
              </w:rPr>
              <w:t xml:space="preserve"> (12.15.2022) - </w:t>
            </w:r>
            <w:r w:rsidRPr="00A061F4">
              <w:rPr>
                <w:rFonts w:cstheme="minorHAnsi"/>
              </w:rPr>
              <w:t>The Federal Financial Institutions Examination Council’s (FFIEC) Task Force on Consumer Compliance adopted the revised examination procedures for the Fair Debt Collection Practices Act (FDCPA) and its implementing regulation, Regulation F. The revised interagency examination procedures incorporate the Consumer Financial Protection Bureau’s 2020 and 2021 Fair Debt Collection Final Rules1 that went into effect on November 30, 2021.</w:t>
            </w:r>
          </w:p>
          <w:p w14:paraId="0D154A67" w14:textId="77777777" w:rsidR="007E7744" w:rsidRPr="00A061F4" w:rsidRDefault="007E7744" w:rsidP="007E7744">
            <w:pPr>
              <w:rPr>
                <w:rFonts w:cstheme="minorHAnsi"/>
              </w:rPr>
            </w:pPr>
          </w:p>
          <w:p w14:paraId="04D40E1D" w14:textId="77777777" w:rsidR="007E7744" w:rsidRPr="00A061F4" w:rsidRDefault="007E7744" w:rsidP="007E7744">
            <w:pPr>
              <w:rPr>
                <w:rFonts w:cstheme="minorHAnsi"/>
              </w:rPr>
            </w:pPr>
            <w:r w:rsidRPr="00A061F4">
              <w:rPr>
                <w:rFonts w:cstheme="minorHAnsi"/>
              </w:rPr>
              <w:t>Rescission</w:t>
            </w:r>
          </w:p>
          <w:p w14:paraId="562E26F5" w14:textId="77777777" w:rsidR="007E7744" w:rsidRPr="00A061F4" w:rsidRDefault="007E7744" w:rsidP="007E7744">
            <w:pPr>
              <w:rPr>
                <w:rFonts w:cstheme="minorHAnsi"/>
              </w:rPr>
            </w:pPr>
            <w:r w:rsidRPr="00A061F4">
              <w:rPr>
                <w:rFonts w:cstheme="minorHAnsi"/>
              </w:rPr>
              <w:t>The Office of the Comptroller of the Currency (OCC) is rescinding the “Fair Debt Collection Practices Act” section of the “Other Consumer Protection Laws and Regulations” booklet of the Comptroller's Handbook. OCC examiners will rely on the interagency procedures.</w:t>
            </w:r>
          </w:p>
          <w:p w14:paraId="4399563A" w14:textId="77777777" w:rsidR="007E7744" w:rsidRPr="00A061F4" w:rsidRDefault="007E7744" w:rsidP="007E7744">
            <w:pPr>
              <w:rPr>
                <w:rFonts w:cstheme="minorHAnsi"/>
              </w:rPr>
            </w:pPr>
          </w:p>
          <w:p w14:paraId="6C8DC503" w14:textId="77777777" w:rsidR="007E7744" w:rsidRPr="00A061F4" w:rsidRDefault="007E7744" w:rsidP="007E7744">
            <w:pPr>
              <w:rPr>
                <w:rFonts w:cstheme="minorHAnsi"/>
              </w:rPr>
            </w:pPr>
            <w:r w:rsidRPr="00A061F4">
              <w:rPr>
                <w:rFonts w:cstheme="minorHAnsi"/>
              </w:rPr>
              <w:t>Note for Community Banks</w:t>
            </w:r>
          </w:p>
          <w:p w14:paraId="15CBEB0B" w14:textId="77777777" w:rsidR="007E7744" w:rsidRPr="00A061F4" w:rsidRDefault="007E7744" w:rsidP="007E7744">
            <w:pPr>
              <w:rPr>
                <w:rFonts w:cstheme="minorHAnsi"/>
              </w:rPr>
            </w:pPr>
            <w:r w:rsidRPr="00A061F4">
              <w:rPr>
                <w:rFonts w:cstheme="minorHAnsi"/>
              </w:rPr>
              <w:t>This bulletin applies to community banks.2</w:t>
            </w:r>
          </w:p>
          <w:p w14:paraId="4B04CEA6" w14:textId="77777777" w:rsidR="007E7744" w:rsidRPr="00A061F4" w:rsidRDefault="007E7744" w:rsidP="007E7744">
            <w:pPr>
              <w:rPr>
                <w:rFonts w:cstheme="minorHAnsi"/>
              </w:rPr>
            </w:pPr>
          </w:p>
          <w:p w14:paraId="1278A55A" w14:textId="77777777" w:rsidR="007E7744" w:rsidRPr="00A061F4" w:rsidRDefault="007E7744" w:rsidP="007E7744">
            <w:pPr>
              <w:rPr>
                <w:rFonts w:cstheme="minorHAnsi"/>
              </w:rPr>
            </w:pPr>
            <w:r w:rsidRPr="00A061F4">
              <w:rPr>
                <w:rFonts w:cstheme="minorHAnsi"/>
              </w:rPr>
              <w:t>Highlights</w:t>
            </w:r>
          </w:p>
          <w:p w14:paraId="396C2884" w14:textId="77777777" w:rsidR="007E7744" w:rsidRPr="00A061F4" w:rsidRDefault="007E7744" w:rsidP="007E7744">
            <w:pPr>
              <w:rPr>
                <w:rFonts w:cstheme="minorHAnsi"/>
              </w:rPr>
            </w:pPr>
            <w:r w:rsidRPr="00A061F4">
              <w:rPr>
                <w:rFonts w:cstheme="minorHAnsi"/>
              </w:rPr>
              <w:t>The revised interagency examination procedures address</w:t>
            </w:r>
          </w:p>
          <w:p w14:paraId="055B19FC" w14:textId="77777777" w:rsidR="007E7744" w:rsidRPr="00A061F4" w:rsidRDefault="007E7744" w:rsidP="007E7744">
            <w:pPr>
              <w:rPr>
                <w:rFonts w:cstheme="minorHAnsi"/>
              </w:rPr>
            </w:pPr>
          </w:p>
          <w:p w14:paraId="13009DB5" w14:textId="77777777" w:rsidR="007E7744" w:rsidRPr="00A061F4" w:rsidRDefault="007E7744" w:rsidP="007E7744">
            <w:pPr>
              <w:pStyle w:val="ListParagraph"/>
              <w:numPr>
                <w:ilvl w:val="0"/>
                <w:numId w:val="41"/>
              </w:numPr>
              <w:rPr>
                <w:rFonts w:cstheme="minorHAnsi"/>
              </w:rPr>
            </w:pPr>
            <w:r w:rsidRPr="00A061F4">
              <w:rPr>
                <w:rFonts w:cstheme="minorHAnsi"/>
              </w:rPr>
              <w:t>determinations of whether a bank is a debt collector under the FDCPA and Regulation F.</w:t>
            </w:r>
          </w:p>
          <w:p w14:paraId="19AEF555" w14:textId="77777777" w:rsidR="007E7744" w:rsidRPr="00A061F4" w:rsidRDefault="007E7744" w:rsidP="007E7744">
            <w:pPr>
              <w:pStyle w:val="ListParagraph"/>
              <w:numPr>
                <w:ilvl w:val="0"/>
                <w:numId w:val="41"/>
              </w:numPr>
              <w:rPr>
                <w:rFonts w:cstheme="minorHAnsi"/>
              </w:rPr>
            </w:pPr>
            <w:r w:rsidRPr="00A061F4">
              <w:rPr>
                <w:rFonts w:cstheme="minorHAnsi"/>
              </w:rPr>
              <w:t>prohibitions on certain communications with consumers in connection with debt collection.</w:t>
            </w:r>
          </w:p>
          <w:p w14:paraId="680689C7" w14:textId="77777777" w:rsidR="007E7744" w:rsidRPr="00A061F4" w:rsidRDefault="007E7744" w:rsidP="007E7744">
            <w:pPr>
              <w:pStyle w:val="ListParagraph"/>
              <w:numPr>
                <w:ilvl w:val="0"/>
                <w:numId w:val="41"/>
              </w:numPr>
              <w:rPr>
                <w:rFonts w:cstheme="minorHAnsi"/>
              </w:rPr>
            </w:pPr>
            <w:r w:rsidRPr="00A061F4">
              <w:rPr>
                <w:rFonts w:cstheme="minorHAnsi"/>
              </w:rPr>
              <w:t>requirements for a reasonable and simple method that consumers can use to opt out of additional communications and attempts to communicate.</w:t>
            </w:r>
          </w:p>
          <w:p w14:paraId="5DE09792" w14:textId="77777777" w:rsidR="007E7744" w:rsidRDefault="007E7744" w:rsidP="007E7744">
            <w:pPr>
              <w:pStyle w:val="ListParagraph"/>
              <w:numPr>
                <w:ilvl w:val="0"/>
                <w:numId w:val="41"/>
              </w:numPr>
              <w:rPr>
                <w:rFonts w:cstheme="minorHAnsi"/>
              </w:rPr>
            </w:pPr>
            <w:r w:rsidRPr="00A061F4">
              <w:rPr>
                <w:rFonts w:cstheme="minorHAnsi"/>
              </w:rPr>
              <w:t>prohibited practices of a debt collector to not harass, oppress, or abuse any person in connection with the collection of a debt.</w:t>
            </w:r>
          </w:p>
          <w:p w14:paraId="0C2394AF" w14:textId="77777777" w:rsidR="007E7744" w:rsidRDefault="007E7744" w:rsidP="007E7744">
            <w:pPr>
              <w:rPr>
                <w:rFonts w:cstheme="minorHAnsi"/>
              </w:rPr>
            </w:pPr>
          </w:p>
          <w:p w14:paraId="4C0BAC7B" w14:textId="3D565E1D" w:rsidR="007E7744" w:rsidRDefault="007E7744" w:rsidP="007E7744">
            <w:pPr>
              <w:rPr>
                <w:rFonts w:cstheme="minorHAnsi"/>
                <w:b/>
                <w:bCs/>
                <w:i/>
                <w:iCs/>
                <w:color w:val="002060"/>
              </w:rPr>
            </w:pPr>
            <w:r w:rsidRPr="002B4A9D">
              <w:rPr>
                <w:rFonts w:cstheme="minorHAnsi"/>
                <w:b/>
                <w:bCs/>
                <w:i/>
                <w:iCs/>
                <w:color w:val="002060"/>
              </w:rPr>
              <w:lastRenderedPageBreak/>
              <w:t xml:space="preserve">Comment: </w:t>
            </w:r>
            <w:r w:rsidR="00C90B9E">
              <w:rPr>
                <w:rFonts w:cstheme="minorHAnsi"/>
                <w:b/>
                <w:bCs/>
                <w:i/>
                <w:iCs/>
                <w:color w:val="002060"/>
              </w:rPr>
              <w:t xml:space="preserve">Anytime the agencies update their exam procedures, its worth </w:t>
            </w:r>
            <w:proofErr w:type="gramStart"/>
            <w:r w:rsidR="00C90B9E">
              <w:rPr>
                <w:rFonts w:cstheme="minorHAnsi"/>
                <w:b/>
                <w:bCs/>
                <w:i/>
                <w:iCs/>
                <w:color w:val="002060"/>
              </w:rPr>
              <w:t>understand</w:t>
            </w:r>
            <w:proofErr w:type="gramEnd"/>
            <w:r w:rsidR="00C90B9E">
              <w:rPr>
                <w:rFonts w:cstheme="minorHAnsi"/>
                <w:b/>
                <w:bCs/>
                <w:i/>
                <w:iCs/>
                <w:color w:val="002060"/>
              </w:rPr>
              <w:t xml:space="preserve"> the change in procedures and to update policies and procedures accordingly. </w:t>
            </w:r>
            <w:r w:rsidR="006F55ED">
              <w:rPr>
                <w:rFonts w:cstheme="minorHAnsi"/>
                <w:b/>
                <w:bCs/>
                <w:i/>
                <w:iCs/>
                <w:color w:val="002060"/>
              </w:rPr>
              <w:t xml:space="preserve"> Often the procedural changes are nuanced but can result in significant outcomes</w:t>
            </w:r>
            <w:r w:rsidR="00C90B9E">
              <w:rPr>
                <w:rFonts w:cstheme="minorHAnsi"/>
                <w:b/>
                <w:bCs/>
                <w:i/>
                <w:iCs/>
                <w:color w:val="002060"/>
              </w:rPr>
              <w:t xml:space="preserve">. </w:t>
            </w:r>
          </w:p>
          <w:p w14:paraId="4C6A2FC4" w14:textId="77777777" w:rsidR="007E7744" w:rsidRDefault="007E7744" w:rsidP="002B4A9D">
            <w:pPr>
              <w:rPr>
                <w:rFonts w:cstheme="minorHAnsi"/>
                <w:b/>
                <w:bCs/>
              </w:rPr>
            </w:pPr>
          </w:p>
        </w:tc>
      </w:tr>
      <w:tr w:rsidR="00911EF6" w:rsidRPr="001E0B8E" w14:paraId="51EAB5D9" w14:textId="77777777" w:rsidTr="00911EF6">
        <w:tc>
          <w:tcPr>
            <w:tcW w:w="978" w:type="dxa"/>
            <w:shd w:val="clear" w:color="auto" w:fill="auto"/>
          </w:tcPr>
          <w:p w14:paraId="3BB30936" w14:textId="77777777" w:rsidR="00911EF6" w:rsidRPr="001E0B8E" w:rsidRDefault="00911EF6" w:rsidP="00EE3D72">
            <w:pPr>
              <w:tabs>
                <w:tab w:val="left" w:pos="500"/>
              </w:tabs>
              <w:rPr>
                <w:color w:val="00B050"/>
              </w:rPr>
            </w:pPr>
          </w:p>
        </w:tc>
        <w:tc>
          <w:tcPr>
            <w:tcW w:w="8372" w:type="dxa"/>
          </w:tcPr>
          <w:p w14:paraId="5E7537CE" w14:textId="77777777" w:rsidR="00911EF6" w:rsidRDefault="00911EF6" w:rsidP="002B4A9D">
            <w:pPr>
              <w:rPr>
                <w:rFonts w:cstheme="minorHAnsi"/>
                <w:b/>
                <w:bCs/>
              </w:rPr>
            </w:pPr>
          </w:p>
        </w:tc>
      </w:tr>
      <w:tr w:rsidR="00E852A8" w:rsidRPr="001E0B8E" w14:paraId="23450AD1" w14:textId="77777777" w:rsidTr="00A65700">
        <w:tc>
          <w:tcPr>
            <w:tcW w:w="978" w:type="dxa"/>
            <w:shd w:val="clear" w:color="auto" w:fill="00B050"/>
          </w:tcPr>
          <w:p w14:paraId="3032736C" w14:textId="77777777" w:rsidR="00E852A8" w:rsidRPr="001E0B8E" w:rsidRDefault="00E852A8" w:rsidP="00EE3D72">
            <w:pPr>
              <w:tabs>
                <w:tab w:val="left" w:pos="500"/>
              </w:tabs>
              <w:rPr>
                <w:color w:val="00B050"/>
              </w:rPr>
            </w:pPr>
          </w:p>
        </w:tc>
        <w:tc>
          <w:tcPr>
            <w:tcW w:w="8372" w:type="dxa"/>
          </w:tcPr>
          <w:p w14:paraId="3A21D68E" w14:textId="253BAD11" w:rsidR="002B4A9D" w:rsidRPr="002B4A9D" w:rsidRDefault="008918EA" w:rsidP="002B4A9D">
            <w:pPr>
              <w:rPr>
                <w:rFonts w:cstheme="minorHAnsi"/>
              </w:rPr>
            </w:pPr>
            <w:r>
              <w:rPr>
                <w:rFonts w:cstheme="minorHAnsi"/>
                <w:b/>
                <w:bCs/>
              </w:rPr>
              <w:t>FFIEC</w:t>
            </w:r>
            <w:r w:rsidR="002B4A9D">
              <w:rPr>
                <w:rFonts w:cstheme="minorHAnsi"/>
              </w:rPr>
              <w:t xml:space="preserve"> </w:t>
            </w:r>
            <w:hyperlink r:id="rId28" w:history="1">
              <w:r w:rsidR="002B4A9D" w:rsidRPr="002B4A9D">
                <w:rPr>
                  <w:rStyle w:val="Hyperlink"/>
                  <w:rFonts w:cstheme="minorHAnsi"/>
                </w:rPr>
                <w:t>Federal Bank Regulatory Agencies Release 2021 Small Business, Small Farm, and Community Development Lending Data</w:t>
              </w:r>
            </w:hyperlink>
            <w:r w:rsidR="002B4A9D">
              <w:rPr>
                <w:rFonts w:cstheme="minorHAnsi"/>
              </w:rPr>
              <w:t xml:space="preserve"> (12/15/2022) - </w:t>
            </w:r>
            <w:r w:rsidR="002B4A9D" w:rsidRPr="002B4A9D">
              <w:rPr>
                <w:rFonts w:cstheme="minorHAnsi"/>
              </w:rPr>
              <w:t>The federal bank regulatory agencies, as members of the Federal Financial Institutions Examination Council (FFIEC), released data on small business, small farm, and community development lending during 2021.</w:t>
            </w:r>
          </w:p>
          <w:p w14:paraId="3F30E3EC" w14:textId="77777777" w:rsidR="002B4A9D" w:rsidRPr="002B4A9D" w:rsidRDefault="002B4A9D" w:rsidP="002B4A9D">
            <w:pPr>
              <w:rPr>
                <w:rFonts w:cstheme="minorHAnsi"/>
              </w:rPr>
            </w:pPr>
          </w:p>
          <w:p w14:paraId="51A4A282" w14:textId="77777777" w:rsidR="002B4A9D" w:rsidRPr="002B4A9D" w:rsidRDefault="002B4A9D" w:rsidP="002B4A9D">
            <w:pPr>
              <w:rPr>
                <w:rFonts w:cstheme="minorHAnsi"/>
              </w:rPr>
            </w:pPr>
            <w:r w:rsidRPr="002B4A9D">
              <w:rPr>
                <w:rFonts w:cstheme="minorHAnsi"/>
              </w:rPr>
              <w:t xml:space="preserve">The Community Reinvestment Act regulations require the agencies to annually disclose these data. The FFIEC also prepared aggregate disclosure statements of small business and small farm lending for </w:t>
            </w:r>
            <w:proofErr w:type="gramStart"/>
            <w:r w:rsidRPr="002B4A9D">
              <w:rPr>
                <w:rFonts w:cstheme="minorHAnsi"/>
              </w:rPr>
              <w:t>all of</w:t>
            </w:r>
            <w:proofErr w:type="gramEnd"/>
            <w:r w:rsidRPr="002B4A9D">
              <w:rPr>
                <w:rFonts w:cstheme="minorHAnsi"/>
              </w:rPr>
              <w:t xml:space="preserve"> the metropolitan statistical areas and non–metropolitan counties in the United States and its territories. The statements are available here.</w:t>
            </w:r>
          </w:p>
          <w:p w14:paraId="33FB43E6" w14:textId="77777777" w:rsidR="002B4A9D" w:rsidRPr="002B4A9D" w:rsidRDefault="002B4A9D" w:rsidP="002B4A9D">
            <w:pPr>
              <w:rPr>
                <w:rFonts w:cstheme="minorHAnsi"/>
              </w:rPr>
            </w:pPr>
          </w:p>
          <w:p w14:paraId="49688CE5" w14:textId="67A4EE55" w:rsidR="002B4A9D" w:rsidRPr="002B4A9D" w:rsidRDefault="002B4A9D" w:rsidP="002B4A9D">
            <w:pPr>
              <w:rPr>
                <w:rFonts w:cstheme="minorHAnsi"/>
              </w:rPr>
            </w:pPr>
            <w:r>
              <w:rPr>
                <w:rFonts w:cstheme="minorHAnsi"/>
              </w:rPr>
              <w:t>Attachments:</w:t>
            </w:r>
          </w:p>
          <w:p w14:paraId="4AF20BD3" w14:textId="77777777" w:rsidR="002B4A9D" w:rsidRPr="002B4A9D" w:rsidRDefault="002B4A9D" w:rsidP="002B4A9D">
            <w:pPr>
              <w:rPr>
                <w:rFonts w:cstheme="minorHAnsi"/>
              </w:rPr>
            </w:pPr>
          </w:p>
          <w:p w14:paraId="7A4AEE34" w14:textId="77FD8E5E" w:rsidR="0045458D" w:rsidRDefault="00000000" w:rsidP="002B4A9D">
            <w:pPr>
              <w:rPr>
                <w:rFonts w:cstheme="minorHAnsi"/>
              </w:rPr>
            </w:pPr>
            <w:hyperlink r:id="rId29" w:history="1">
              <w:r w:rsidR="002B4A9D" w:rsidRPr="002B4A9D">
                <w:rPr>
                  <w:rStyle w:val="Hyperlink"/>
                  <w:rFonts w:cstheme="minorHAnsi"/>
                </w:rPr>
                <w:t>Fact Sheet on 2021 Data – With Tables</w:t>
              </w:r>
            </w:hyperlink>
          </w:p>
          <w:p w14:paraId="1A82B421" w14:textId="032F25E8" w:rsidR="002B4A9D" w:rsidRPr="00E852A8" w:rsidRDefault="002B4A9D" w:rsidP="00C90B9E">
            <w:pPr>
              <w:rPr>
                <w:rFonts w:cstheme="minorHAnsi"/>
              </w:rPr>
            </w:pPr>
          </w:p>
        </w:tc>
      </w:tr>
      <w:tr w:rsidR="00732248" w:rsidRPr="001E0B8E" w14:paraId="792073F8" w14:textId="77777777" w:rsidTr="00D93FF3">
        <w:tc>
          <w:tcPr>
            <w:tcW w:w="978" w:type="dxa"/>
            <w:shd w:val="clear" w:color="auto" w:fill="auto"/>
          </w:tcPr>
          <w:p w14:paraId="5490F2E6" w14:textId="77777777" w:rsidR="00732248" w:rsidRPr="001E0B8E" w:rsidRDefault="00732248" w:rsidP="00EE3D72">
            <w:pPr>
              <w:tabs>
                <w:tab w:val="left" w:pos="500"/>
              </w:tabs>
              <w:rPr>
                <w:color w:val="00B050"/>
              </w:rPr>
            </w:pPr>
          </w:p>
        </w:tc>
        <w:tc>
          <w:tcPr>
            <w:tcW w:w="8372" w:type="dxa"/>
          </w:tcPr>
          <w:p w14:paraId="57C3444F" w14:textId="77777777" w:rsidR="00732248" w:rsidRPr="002B4A9D" w:rsidRDefault="00732248" w:rsidP="002B4A9D">
            <w:pPr>
              <w:rPr>
                <w:rFonts w:cstheme="minorHAnsi"/>
                <w:b/>
                <w:bCs/>
              </w:rPr>
            </w:pPr>
          </w:p>
        </w:tc>
      </w:tr>
      <w:tr w:rsidR="00732248" w:rsidRPr="001E0B8E" w14:paraId="7B465691" w14:textId="77777777" w:rsidTr="00732248">
        <w:tc>
          <w:tcPr>
            <w:tcW w:w="978" w:type="dxa"/>
            <w:shd w:val="clear" w:color="auto" w:fill="FFFF00"/>
          </w:tcPr>
          <w:p w14:paraId="504BA6AD" w14:textId="77777777" w:rsidR="00732248" w:rsidRPr="001E0B8E" w:rsidRDefault="00732248" w:rsidP="00EE3D72">
            <w:pPr>
              <w:tabs>
                <w:tab w:val="left" w:pos="500"/>
              </w:tabs>
              <w:rPr>
                <w:color w:val="00B050"/>
              </w:rPr>
            </w:pPr>
          </w:p>
        </w:tc>
        <w:tc>
          <w:tcPr>
            <w:tcW w:w="8372" w:type="dxa"/>
          </w:tcPr>
          <w:p w14:paraId="0F93B846" w14:textId="482DEF21" w:rsidR="00732248" w:rsidRDefault="00732248" w:rsidP="00732248">
            <w:pPr>
              <w:rPr>
                <w:rFonts w:cstheme="minorHAnsi"/>
              </w:rPr>
            </w:pPr>
            <w:r w:rsidRPr="00732248">
              <w:rPr>
                <w:rFonts w:cstheme="minorHAnsi"/>
                <w:b/>
                <w:bCs/>
              </w:rPr>
              <w:t>CFPB</w:t>
            </w:r>
            <w:r w:rsidRPr="00732248">
              <w:rPr>
                <w:rFonts w:cstheme="minorHAnsi"/>
              </w:rPr>
              <w:t xml:space="preserve"> </w:t>
            </w:r>
            <w:hyperlink r:id="rId30" w:history="1">
              <w:r w:rsidRPr="00732248">
                <w:rPr>
                  <w:rStyle w:val="Hyperlink"/>
                  <w:rFonts w:cstheme="minorHAnsi"/>
                </w:rPr>
                <w:t>Issues Updated HELOC Brochure</w:t>
              </w:r>
            </w:hyperlink>
            <w:r w:rsidRPr="00732248">
              <w:rPr>
                <w:rFonts w:cstheme="minorHAnsi"/>
              </w:rPr>
              <w:t xml:space="preserve"> (12.16.2022) - The Bureau has issued an update to the “What you should know about home equity lines of credit” brochure (HELOC Brochure).  The new edition of the HELOC Brochure is updated to align with the Bureau’s educational efforts, to be more concise, and to improve readability and usability.  The updated brochure is available in both English and Spanish.</w:t>
            </w:r>
          </w:p>
          <w:p w14:paraId="70DC7B89" w14:textId="77777777" w:rsidR="00732248" w:rsidRPr="00732248" w:rsidRDefault="00732248" w:rsidP="00732248">
            <w:pPr>
              <w:rPr>
                <w:rFonts w:cstheme="minorHAnsi"/>
              </w:rPr>
            </w:pPr>
          </w:p>
          <w:p w14:paraId="31111FD6" w14:textId="21981713" w:rsidR="00732248" w:rsidRDefault="00732248" w:rsidP="00732248">
            <w:pPr>
              <w:rPr>
                <w:rFonts w:cstheme="minorHAnsi"/>
              </w:rPr>
            </w:pPr>
            <w:r w:rsidRPr="00732248">
              <w:rPr>
                <w:rFonts w:cstheme="minorHAnsi"/>
              </w:rPr>
              <w:t xml:space="preserve">You can access the HELOC Brochure Federal Register notice here: </w:t>
            </w:r>
            <w:hyperlink r:id="rId31" w:history="1">
              <w:r w:rsidRPr="007A31D7">
                <w:rPr>
                  <w:rStyle w:val="Hyperlink"/>
                  <w:rFonts w:cstheme="minorHAnsi"/>
                </w:rPr>
                <w:t>www.federalregister.gov/documents/2022/12/16/2022-27324/notice-of-availability-of-revised-consumer-information-publication</w:t>
              </w:r>
            </w:hyperlink>
            <w:r w:rsidRPr="00732248">
              <w:rPr>
                <w:rFonts w:cstheme="minorHAnsi"/>
              </w:rPr>
              <w:t>.</w:t>
            </w:r>
          </w:p>
          <w:p w14:paraId="42E78641" w14:textId="77777777" w:rsidR="00732248" w:rsidRPr="00732248" w:rsidRDefault="00732248" w:rsidP="00732248">
            <w:pPr>
              <w:rPr>
                <w:rFonts w:cstheme="minorHAnsi"/>
              </w:rPr>
            </w:pPr>
          </w:p>
          <w:p w14:paraId="19ABFC54" w14:textId="60244D9A" w:rsidR="00732248" w:rsidRDefault="00732248" w:rsidP="00732248">
            <w:pPr>
              <w:rPr>
                <w:rFonts w:cstheme="minorHAnsi"/>
              </w:rPr>
            </w:pPr>
            <w:r w:rsidRPr="00732248">
              <w:rPr>
                <w:rFonts w:cstheme="minorHAnsi"/>
              </w:rPr>
              <w:t xml:space="preserve">You can access the English and Spanish versions here: </w:t>
            </w:r>
            <w:hyperlink r:id="rId32" w:history="1">
              <w:r w:rsidRPr="007A31D7">
                <w:rPr>
                  <w:rStyle w:val="Hyperlink"/>
                  <w:rFonts w:cstheme="minorHAnsi"/>
                </w:rPr>
                <w:t>www.consumerfinance.gov/learnmore</w:t>
              </w:r>
            </w:hyperlink>
            <w:r w:rsidRPr="00732248">
              <w:rPr>
                <w:rFonts w:cstheme="minorHAnsi"/>
              </w:rPr>
              <w:t>.</w:t>
            </w:r>
          </w:p>
          <w:p w14:paraId="31E87EF9" w14:textId="77777777" w:rsidR="00732248" w:rsidRDefault="00732248" w:rsidP="00732248">
            <w:pPr>
              <w:rPr>
                <w:rFonts w:cstheme="minorHAnsi"/>
              </w:rPr>
            </w:pPr>
          </w:p>
          <w:p w14:paraId="4015B8D4" w14:textId="552FE72B" w:rsidR="00732248" w:rsidRDefault="00732248" w:rsidP="00732248">
            <w:pPr>
              <w:rPr>
                <w:rFonts w:cstheme="minorHAnsi"/>
                <w:b/>
                <w:bCs/>
                <w:i/>
                <w:iCs/>
                <w:color w:val="002060"/>
              </w:rPr>
            </w:pPr>
            <w:r w:rsidRPr="002B4A9D">
              <w:rPr>
                <w:rFonts w:cstheme="minorHAnsi"/>
                <w:b/>
                <w:bCs/>
                <w:i/>
                <w:iCs/>
                <w:color w:val="002060"/>
              </w:rPr>
              <w:t xml:space="preserve">Comment: </w:t>
            </w:r>
            <w:r w:rsidR="00C90B9E">
              <w:rPr>
                <w:rFonts w:cstheme="minorHAnsi"/>
                <w:b/>
                <w:bCs/>
                <w:i/>
                <w:iCs/>
                <w:color w:val="002060"/>
              </w:rPr>
              <w:t xml:space="preserve">Update your disclosures / materials accordingly. </w:t>
            </w:r>
          </w:p>
          <w:p w14:paraId="014626AC" w14:textId="3D1035B0" w:rsidR="00732248" w:rsidRPr="00732248" w:rsidRDefault="00732248" w:rsidP="00732248">
            <w:pPr>
              <w:rPr>
                <w:rFonts w:cstheme="minorHAnsi"/>
              </w:rPr>
            </w:pPr>
          </w:p>
        </w:tc>
      </w:tr>
      <w:tr w:rsidR="00D93FF3" w:rsidRPr="001E0B8E" w14:paraId="2E0F38D4" w14:textId="77777777" w:rsidTr="00D93FF3">
        <w:tc>
          <w:tcPr>
            <w:tcW w:w="978" w:type="dxa"/>
            <w:shd w:val="clear" w:color="auto" w:fill="auto"/>
          </w:tcPr>
          <w:p w14:paraId="3DC08BB2" w14:textId="77777777" w:rsidR="00D93FF3" w:rsidRPr="001E0B8E" w:rsidRDefault="00D93FF3" w:rsidP="00EE3D72">
            <w:pPr>
              <w:tabs>
                <w:tab w:val="left" w:pos="500"/>
              </w:tabs>
              <w:rPr>
                <w:color w:val="00B050"/>
              </w:rPr>
            </w:pPr>
          </w:p>
        </w:tc>
        <w:tc>
          <w:tcPr>
            <w:tcW w:w="8372" w:type="dxa"/>
          </w:tcPr>
          <w:p w14:paraId="1EBC04C2" w14:textId="77777777" w:rsidR="00D93FF3" w:rsidRPr="002B4A9D" w:rsidRDefault="00D93FF3" w:rsidP="002B4A9D">
            <w:pPr>
              <w:rPr>
                <w:rFonts w:cstheme="minorHAnsi"/>
                <w:b/>
                <w:bCs/>
              </w:rPr>
            </w:pPr>
          </w:p>
        </w:tc>
      </w:tr>
      <w:tr w:rsidR="00D93FF3" w:rsidRPr="001E0B8E" w14:paraId="49DDE04C" w14:textId="77777777" w:rsidTr="00A65700">
        <w:tc>
          <w:tcPr>
            <w:tcW w:w="978" w:type="dxa"/>
            <w:shd w:val="clear" w:color="auto" w:fill="00B050"/>
          </w:tcPr>
          <w:p w14:paraId="24634A54" w14:textId="77777777" w:rsidR="00D93FF3" w:rsidRPr="001E0B8E" w:rsidRDefault="00D93FF3" w:rsidP="00EE3D72">
            <w:pPr>
              <w:tabs>
                <w:tab w:val="left" w:pos="500"/>
              </w:tabs>
              <w:rPr>
                <w:color w:val="00B050"/>
              </w:rPr>
            </w:pPr>
          </w:p>
        </w:tc>
        <w:tc>
          <w:tcPr>
            <w:tcW w:w="8372" w:type="dxa"/>
          </w:tcPr>
          <w:p w14:paraId="542F354C" w14:textId="77777777" w:rsidR="00D93FF3" w:rsidRPr="00D93FF3" w:rsidRDefault="00D93FF3" w:rsidP="00D93FF3">
            <w:pPr>
              <w:rPr>
                <w:rFonts w:cstheme="minorHAnsi"/>
              </w:rPr>
            </w:pPr>
            <w:r w:rsidRPr="00D93FF3">
              <w:rPr>
                <w:rFonts w:cstheme="minorHAnsi"/>
                <w:b/>
                <w:bCs/>
              </w:rPr>
              <w:t>OCC</w:t>
            </w:r>
            <w:r w:rsidRPr="00D93FF3">
              <w:rPr>
                <w:rFonts w:cstheme="minorHAnsi"/>
              </w:rPr>
              <w:t xml:space="preserve"> </w:t>
            </w:r>
            <w:hyperlink r:id="rId33" w:history="1">
              <w:r w:rsidRPr="00D93FF3">
                <w:rPr>
                  <w:rStyle w:val="Hyperlink"/>
                  <w:rFonts w:cstheme="minorHAnsi"/>
                </w:rPr>
                <w:t>Reports Improvement in Overall Mortgage Performance</w:t>
              </w:r>
            </w:hyperlink>
            <w:r>
              <w:rPr>
                <w:rFonts w:cstheme="minorHAnsi"/>
              </w:rPr>
              <w:t xml:space="preserve"> (12.15.2022) - </w:t>
            </w:r>
            <w:r w:rsidRPr="00D93FF3">
              <w:rPr>
                <w:rFonts w:cstheme="minorHAnsi"/>
              </w:rPr>
              <w:t>WASHINGTON—The Office of the Comptroller of the Currency (OCC) reported that the performance of first-lien mortgages in the federal banking system improved during the third quarter of 2022.</w:t>
            </w:r>
          </w:p>
          <w:p w14:paraId="321C7D7A" w14:textId="77777777" w:rsidR="00D93FF3" w:rsidRPr="00D93FF3" w:rsidRDefault="00D93FF3" w:rsidP="00D93FF3">
            <w:pPr>
              <w:rPr>
                <w:rFonts w:cstheme="minorHAnsi"/>
              </w:rPr>
            </w:pPr>
          </w:p>
          <w:p w14:paraId="0A067522" w14:textId="77777777" w:rsidR="00D93FF3" w:rsidRPr="00D93FF3" w:rsidRDefault="00D93FF3" w:rsidP="00D93FF3">
            <w:pPr>
              <w:rPr>
                <w:rFonts w:cstheme="minorHAnsi"/>
              </w:rPr>
            </w:pPr>
            <w:r w:rsidRPr="00D93FF3">
              <w:rPr>
                <w:rFonts w:cstheme="minorHAnsi"/>
              </w:rPr>
              <w:t>The OCC Mortgage Metrics Report, Third Quarter 2022 showed that 97.2 percent of mortgages included in the report were current and performing at the end of the quarter, compared to 95.6 percent a year earlier.</w:t>
            </w:r>
          </w:p>
          <w:p w14:paraId="34C85B97" w14:textId="77777777" w:rsidR="00D93FF3" w:rsidRPr="00D93FF3" w:rsidRDefault="00D93FF3" w:rsidP="00D93FF3">
            <w:pPr>
              <w:rPr>
                <w:rFonts w:cstheme="minorHAnsi"/>
              </w:rPr>
            </w:pPr>
          </w:p>
          <w:p w14:paraId="056E7937" w14:textId="77777777" w:rsidR="00D93FF3" w:rsidRPr="00D93FF3" w:rsidRDefault="00D93FF3" w:rsidP="00D93FF3">
            <w:pPr>
              <w:rPr>
                <w:rFonts w:cstheme="minorHAnsi"/>
              </w:rPr>
            </w:pPr>
            <w:r w:rsidRPr="00D93FF3">
              <w:rPr>
                <w:rFonts w:cstheme="minorHAnsi"/>
              </w:rPr>
              <w:lastRenderedPageBreak/>
              <w:t>The percentage of seriously delinquent mortgages – mortgages that are 60 or more days past due and all mortgages held by bankrupt borrowers whose payments are 30 or more days past due – was 1.3 percent in the third quarter of 2022, compared to 1.5 percent in the prior quarter and 3.1 percent a year ago.</w:t>
            </w:r>
          </w:p>
          <w:p w14:paraId="7A2CDFC9" w14:textId="77777777" w:rsidR="00D93FF3" w:rsidRPr="00D93FF3" w:rsidRDefault="00D93FF3" w:rsidP="00D93FF3">
            <w:pPr>
              <w:rPr>
                <w:rFonts w:cstheme="minorHAnsi"/>
              </w:rPr>
            </w:pPr>
          </w:p>
          <w:p w14:paraId="269213B0" w14:textId="77777777" w:rsidR="00D93FF3" w:rsidRPr="00D93FF3" w:rsidRDefault="00D93FF3" w:rsidP="00D93FF3">
            <w:pPr>
              <w:rPr>
                <w:rFonts w:cstheme="minorHAnsi"/>
              </w:rPr>
            </w:pPr>
            <w:r w:rsidRPr="00D93FF3">
              <w:rPr>
                <w:rFonts w:cstheme="minorHAnsi"/>
              </w:rPr>
              <w:t>Servicers initiated 9,835 new foreclosures in the third quarter of 2022, a decrease from the prior quarter, but a higher volume than a year earlier. The new foreclosure volume in the third quarter of 2022 is lower than pre-COVID-19 pandemic foreclosure volumes.</w:t>
            </w:r>
          </w:p>
          <w:p w14:paraId="4D0A0F8B" w14:textId="77777777" w:rsidR="00D93FF3" w:rsidRPr="00D93FF3" w:rsidRDefault="00D93FF3" w:rsidP="00D93FF3">
            <w:pPr>
              <w:rPr>
                <w:rFonts w:cstheme="minorHAnsi"/>
              </w:rPr>
            </w:pPr>
          </w:p>
          <w:p w14:paraId="160321B6" w14:textId="77777777" w:rsidR="00D93FF3" w:rsidRPr="00D93FF3" w:rsidRDefault="00D93FF3" w:rsidP="00D93FF3">
            <w:pPr>
              <w:rPr>
                <w:rFonts w:cstheme="minorHAnsi"/>
              </w:rPr>
            </w:pPr>
            <w:r w:rsidRPr="00D93FF3">
              <w:rPr>
                <w:rFonts w:cstheme="minorHAnsi"/>
              </w:rPr>
              <w:t>Servicers completed 16,160 modifications during the third quarter of 2022, a 42.5 percent decrease from the previous quarter. Of the 16,160 modifications completed during the quarter, 11,696, or 72.4 percent, reduced the loan's pre-modification monthly payment, and 15,037 or 93.1 percent, were "combination modifications"—modifications that included multiple actions affecting the affordability and sustainability of the loan, such as an interest rate reduction and a term extension.</w:t>
            </w:r>
          </w:p>
          <w:p w14:paraId="11311145" w14:textId="77777777" w:rsidR="00D93FF3" w:rsidRPr="00D93FF3" w:rsidRDefault="00D93FF3" w:rsidP="00D93FF3">
            <w:pPr>
              <w:rPr>
                <w:rFonts w:cstheme="minorHAnsi"/>
              </w:rPr>
            </w:pPr>
          </w:p>
          <w:p w14:paraId="227048DA" w14:textId="77777777" w:rsidR="00D93FF3" w:rsidRPr="00D93FF3" w:rsidRDefault="00D93FF3" w:rsidP="00D93FF3">
            <w:pPr>
              <w:rPr>
                <w:rFonts w:cstheme="minorHAnsi"/>
              </w:rPr>
            </w:pPr>
            <w:r w:rsidRPr="00D93FF3">
              <w:rPr>
                <w:rFonts w:cstheme="minorHAnsi"/>
              </w:rPr>
              <w:t>The first-lien mortgages included in the OCC's quarterly report comprise 22 percent of all residential mortgage debt outstanding in the United States or approximately 12 million loans totaling $2.7 trillion in principal balances.</w:t>
            </w:r>
          </w:p>
          <w:p w14:paraId="48A7A34B" w14:textId="77777777" w:rsidR="00D93FF3" w:rsidRPr="00D93FF3" w:rsidRDefault="00D93FF3" w:rsidP="00D93FF3">
            <w:pPr>
              <w:rPr>
                <w:rFonts w:cstheme="minorHAnsi"/>
              </w:rPr>
            </w:pPr>
          </w:p>
          <w:p w14:paraId="623054C1" w14:textId="77777777" w:rsidR="00D93FF3" w:rsidRPr="00D93FF3" w:rsidRDefault="00D93FF3" w:rsidP="00D93FF3">
            <w:pPr>
              <w:rPr>
                <w:rFonts w:cstheme="minorHAnsi"/>
              </w:rPr>
            </w:pPr>
            <w:r w:rsidRPr="00D93FF3">
              <w:rPr>
                <w:rFonts w:cstheme="minorHAnsi"/>
              </w:rPr>
              <w:t>This report provides information on mortgage performance through September 30, 2022, and is available on the OCC's website, www.occ.gov.</w:t>
            </w:r>
          </w:p>
          <w:p w14:paraId="73304827" w14:textId="77777777" w:rsidR="00D93FF3" w:rsidRPr="00D93FF3" w:rsidRDefault="00D93FF3" w:rsidP="00D93FF3">
            <w:pPr>
              <w:rPr>
                <w:rFonts w:cstheme="minorHAnsi"/>
              </w:rPr>
            </w:pPr>
          </w:p>
          <w:p w14:paraId="1E4CEA6B" w14:textId="77777777" w:rsidR="00D93FF3" w:rsidRPr="00D93FF3" w:rsidRDefault="00D93FF3" w:rsidP="00D93FF3">
            <w:pPr>
              <w:rPr>
                <w:rFonts w:cstheme="minorHAnsi"/>
              </w:rPr>
            </w:pPr>
            <w:r w:rsidRPr="00D93FF3">
              <w:rPr>
                <w:rFonts w:cstheme="minorHAnsi"/>
              </w:rPr>
              <w:t>Related Link</w:t>
            </w:r>
          </w:p>
          <w:p w14:paraId="6E7A7DD3" w14:textId="68871D74" w:rsidR="00D93FF3" w:rsidRDefault="00000000" w:rsidP="00D93FF3">
            <w:pPr>
              <w:rPr>
                <w:rFonts w:cstheme="minorHAnsi"/>
              </w:rPr>
            </w:pPr>
            <w:hyperlink r:id="rId34" w:history="1">
              <w:r w:rsidR="00D93FF3" w:rsidRPr="00D93FF3">
                <w:rPr>
                  <w:rStyle w:val="Hyperlink"/>
                  <w:rFonts w:cstheme="minorHAnsi"/>
                </w:rPr>
                <w:t>OCC Mortgage Metrics Report, Third Quarter 2022 (PDF)</w:t>
              </w:r>
            </w:hyperlink>
          </w:p>
          <w:p w14:paraId="06B42C1C" w14:textId="77777777" w:rsidR="00D93FF3" w:rsidRDefault="00D93FF3" w:rsidP="00D93FF3">
            <w:pPr>
              <w:rPr>
                <w:rFonts w:cstheme="minorHAnsi"/>
              </w:rPr>
            </w:pPr>
          </w:p>
          <w:p w14:paraId="68C1D398" w14:textId="646D080B" w:rsidR="00D93FF3" w:rsidRDefault="00D93FF3" w:rsidP="00D93FF3">
            <w:pPr>
              <w:rPr>
                <w:rFonts w:cstheme="minorHAnsi"/>
                <w:b/>
                <w:bCs/>
                <w:i/>
                <w:iCs/>
                <w:color w:val="002060"/>
              </w:rPr>
            </w:pPr>
            <w:r w:rsidRPr="002B4A9D">
              <w:rPr>
                <w:rFonts w:cstheme="minorHAnsi"/>
                <w:b/>
                <w:bCs/>
                <w:i/>
                <w:iCs/>
                <w:color w:val="002060"/>
              </w:rPr>
              <w:t xml:space="preserve">Comment: </w:t>
            </w:r>
            <w:r w:rsidR="006F55ED">
              <w:rPr>
                <w:rFonts w:cstheme="minorHAnsi"/>
                <w:b/>
                <w:bCs/>
                <w:i/>
                <w:iCs/>
                <w:color w:val="002060"/>
              </w:rPr>
              <w:t xml:space="preserve">Texas leads the nation in the number of mortgage modification actions and in the number of re-defaults for loan modified six months prior. </w:t>
            </w:r>
          </w:p>
          <w:p w14:paraId="10272C5F" w14:textId="6C39F68B" w:rsidR="00D93FF3" w:rsidRPr="00D93FF3" w:rsidRDefault="00D93FF3" w:rsidP="00D93FF3">
            <w:pPr>
              <w:rPr>
                <w:rFonts w:cstheme="minorHAnsi"/>
              </w:rPr>
            </w:pPr>
          </w:p>
        </w:tc>
      </w:tr>
    </w:tbl>
    <w:p w14:paraId="56869681" w14:textId="0448C788" w:rsidR="00AC1F42" w:rsidRPr="001E0B8E" w:rsidRDefault="00AC1F42">
      <w:pPr>
        <w:rPr>
          <w:rFonts w:ascii="Verdana" w:hAnsi="Verdana"/>
          <w:b/>
          <w:bCs/>
        </w:rPr>
      </w:pPr>
    </w:p>
    <w:p w14:paraId="07F698CF" w14:textId="4F60F86B" w:rsidR="000015D0" w:rsidRPr="001E0B8E" w:rsidRDefault="000015D0">
      <w:pPr>
        <w:rPr>
          <w:rFonts w:ascii="Verdana" w:hAnsi="Verdana"/>
          <w:b/>
          <w:bCs/>
        </w:rPr>
      </w:pPr>
      <w:r w:rsidRPr="001E0B8E">
        <w:rPr>
          <w:rFonts w:ascii="Verdana" w:hAnsi="Verdana"/>
          <w:b/>
          <w:bCs/>
        </w:rPr>
        <w:t>Technology</w:t>
      </w:r>
      <w:r w:rsidR="00FE2C94" w:rsidRPr="001E0B8E">
        <w:rPr>
          <w:rFonts w:ascii="Verdana" w:hAnsi="Verdana"/>
          <w:b/>
          <w:bCs/>
        </w:rPr>
        <w:t xml:space="preserve"> / Security </w:t>
      </w:r>
    </w:p>
    <w:tbl>
      <w:tblPr>
        <w:tblStyle w:val="TableGrid"/>
        <w:tblW w:w="0" w:type="auto"/>
        <w:tblLook w:val="04A0" w:firstRow="1" w:lastRow="0" w:firstColumn="1" w:lastColumn="0" w:noHBand="0" w:noVBand="1"/>
      </w:tblPr>
      <w:tblGrid>
        <w:gridCol w:w="985"/>
        <w:gridCol w:w="8365"/>
      </w:tblGrid>
      <w:tr w:rsidR="009F0CD7" w:rsidRPr="001E0B8E" w14:paraId="29E84FF2" w14:textId="77777777" w:rsidTr="00971DC0">
        <w:tc>
          <w:tcPr>
            <w:tcW w:w="985" w:type="dxa"/>
            <w:shd w:val="clear" w:color="auto" w:fill="FFFF00"/>
          </w:tcPr>
          <w:p w14:paraId="3A727E55" w14:textId="77777777" w:rsidR="009F0CD7" w:rsidRPr="00E00EE3" w:rsidRDefault="009F0CD7" w:rsidP="00E73F7F">
            <w:pPr>
              <w:tabs>
                <w:tab w:val="left" w:pos="480"/>
              </w:tabs>
            </w:pPr>
          </w:p>
        </w:tc>
        <w:tc>
          <w:tcPr>
            <w:tcW w:w="8365" w:type="dxa"/>
          </w:tcPr>
          <w:p w14:paraId="326AA30E" w14:textId="187F65AA" w:rsidR="00E00EE3" w:rsidRPr="00E00EE3" w:rsidRDefault="00E00EE3" w:rsidP="00E00EE3">
            <w:pPr>
              <w:rPr>
                <w:rFonts w:cstheme="minorHAnsi"/>
              </w:rPr>
            </w:pPr>
            <w:r w:rsidRPr="00E00EE3">
              <w:rPr>
                <w:rFonts w:cstheme="minorHAnsi"/>
                <w:b/>
                <w:bCs/>
              </w:rPr>
              <w:t xml:space="preserve">CISA </w:t>
            </w:r>
            <w:hyperlink r:id="rId35" w:history="1">
              <w:r w:rsidRPr="00E00EE3">
                <w:rPr>
                  <w:rStyle w:val="Hyperlink"/>
                  <w:rFonts w:cstheme="minorHAnsi"/>
                </w:rPr>
                <w:t>Apple / Microsoft Issue Security Updates</w:t>
              </w:r>
            </w:hyperlink>
            <w:r w:rsidRPr="00E00EE3">
              <w:rPr>
                <w:rFonts w:cstheme="minorHAnsi"/>
              </w:rPr>
              <w:t xml:space="preserve"> (12.</w:t>
            </w:r>
            <w:r>
              <w:rPr>
                <w:rFonts w:cstheme="minorHAnsi"/>
              </w:rPr>
              <w:t xml:space="preserve">22.2022) - </w:t>
            </w:r>
            <w:r w:rsidRPr="00E00EE3">
              <w:rPr>
                <w:rFonts w:cstheme="minorHAnsi"/>
              </w:rPr>
              <w:t>Apple has released security updates to address vulnerabilities in multiple products. An attacker could exploit some of these vulnerabilities to take control of an affected device.</w:t>
            </w:r>
          </w:p>
          <w:p w14:paraId="3FFE10F0" w14:textId="77777777" w:rsidR="00E00EE3" w:rsidRPr="00E00EE3" w:rsidRDefault="00E00EE3" w:rsidP="00E00EE3">
            <w:pPr>
              <w:rPr>
                <w:rFonts w:cstheme="minorHAnsi"/>
              </w:rPr>
            </w:pPr>
          </w:p>
          <w:p w14:paraId="4553298B" w14:textId="1FA9874B" w:rsidR="003E0B27" w:rsidRDefault="00E00EE3" w:rsidP="00E00EE3">
            <w:pPr>
              <w:rPr>
                <w:rFonts w:cstheme="minorHAnsi"/>
              </w:rPr>
            </w:pPr>
            <w:r w:rsidRPr="00E00EE3">
              <w:rPr>
                <w:rFonts w:cstheme="minorHAnsi"/>
              </w:rPr>
              <w:t xml:space="preserve">CISA encourages users and administrators to review the </w:t>
            </w:r>
            <w:hyperlink r:id="rId36" w:history="1">
              <w:r w:rsidRPr="00E00EE3">
                <w:rPr>
                  <w:rStyle w:val="Hyperlink"/>
                  <w:rFonts w:cstheme="minorHAnsi"/>
                </w:rPr>
                <w:t>Apple security updates</w:t>
              </w:r>
            </w:hyperlink>
            <w:r w:rsidRPr="00E00EE3">
              <w:rPr>
                <w:rFonts w:cstheme="minorHAnsi"/>
              </w:rPr>
              <w:t xml:space="preserve"> page for the following products and apply the necessary updates as soon as possible:</w:t>
            </w:r>
          </w:p>
          <w:p w14:paraId="5EF9B016" w14:textId="77777777" w:rsidR="00E00EE3" w:rsidRDefault="00E00EE3" w:rsidP="00E00EE3">
            <w:pPr>
              <w:rPr>
                <w:rFonts w:cstheme="minorHAnsi"/>
              </w:rPr>
            </w:pPr>
          </w:p>
          <w:p w14:paraId="719F1919" w14:textId="77777777" w:rsidR="00E00EE3" w:rsidRPr="00E00EE3" w:rsidRDefault="00E00EE3" w:rsidP="00E00EE3">
            <w:pPr>
              <w:rPr>
                <w:rFonts w:cstheme="minorHAnsi"/>
              </w:rPr>
            </w:pPr>
            <w:r w:rsidRPr="00E00EE3">
              <w:rPr>
                <w:rFonts w:cstheme="minorHAnsi"/>
              </w:rPr>
              <w:t>Microsoft has released updates to address multiple vulnerabilities in Microsoft software. An attacker can exploit some of these vulnerabilities to take control of an affected system.</w:t>
            </w:r>
          </w:p>
          <w:p w14:paraId="7F92BEDA" w14:textId="77777777" w:rsidR="00E00EE3" w:rsidRPr="00E00EE3" w:rsidRDefault="00E00EE3" w:rsidP="00E00EE3">
            <w:pPr>
              <w:rPr>
                <w:rFonts w:cstheme="minorHAnsi"/>
              </w:rPr>
            </w:pPr>
          </w:p>
          <w:p w14:paraId="690EBD63" w14:textId="77777777" w:rsidR="00E00EE3" w:rsidRDefault="00E00EE3" w:rsidP="00E00EE3">
            <w:pPr>
              <w:rPr>
                <w:rFonts w:cstheme="minorHAnsi"/>
              </w:rPr>
            </w:pPr>
            <w:r w:rsidRPr="00E00EE3">
              <w:rPr>
                <w:rFonts w:cstheme="minorHAnsi"/>
              </w:rPr>
              <w:t xml:space="preserve">CISA encourages users and administrators to review Microsoft’s </w:t>
            </w:r>
            <w:hyperlink r:id="rId37" w:history="1">
              <w:r w:rsidRPr="00E00EE3">
                <w:rPr>
                  <w:rStyle w:val="Hyperlink"/>
                  <w:rFonts w:cstheme="minorHAnsi"/>
                </w:rPr>
                <w:t>December 2022 Security Update Guide</w:t>
              </w:r>
            </w:hyperlink>
            <w:r w:rsidRPr="00E00EE3">
              <w:rPr>
                <w:rFonts w:cstheme="minorHAnsi"/>
              </w:rPr>
              <w:t xml:space="preserve"> and Deployment Information and apply the necessary updates.</w:t>
            </w:r>
          </w:p>
          <w:p w14:paraId="67ECB518" w14:textId="77777777" w:rsidR="00E00EE3" w:rsidRDefault="00E00EE3" w:rsidP="00E00EE3">
            <w:pPr>
              <w:rPr>
                <w:rFonts w:cstheme="minorHAnsi"/>
              </w:rPr>
            </w:pPr>
          </w:p>
          <w:p w14:paraId="7EEC3FD8" w14:textId="23A51FFF" w:rsidR="00E00EE3" w:rsidRDefault="00E00EE3" w:rsidP="00E00EE3">
            <w:pPr>
              <w:rPr>
                <w:rFonts w:cstheme="minorHAnsi"/>
                <w:b/>
                <w:bCs/>
                <w:i/>
                <w:iCs/>
                <w:color w:val="002060"/>
              </w:rPr>
            </w:pPr>
            <w:r w:rsidRPr="002B4A9D">
              <w:rPr>
                <w:rFonts w:cstheme="minorHAnsi"/>
                <w:b/>
                <w:bCs/>
                <w:i/>
                <w:iCs/>
                <w:color w:val="002060"/>
              </w:rPr>
              <w:t xml:space="preserve">Comment: </w:t>
            </w:r>
            <w:r w:rsidR="006F55ED">
              <w:rPr>
                <w:rFonts w:cstheme="minorHAnsi"/>
                <w:b/>
                <w:bCs/>
                <w:i/>
                <w:iCs/>
                <w:color w:val="002060"/>
              </w:rPr>
              <w:t xml:space="preserve">Share with your IT staff accordingly. </w:t>
            </w:r>
          </w:p>
          <w:p w14:paraId="55654A82" w14:textId="75847978" w:rsidR="00E00EE3" w:rsidRPr="00E00EE3" w:rsidRDefault="00E00EE3" w:rsidP="00E00EE3">
            <w:pPr>
              <w:rPr>
                <w:rFonts w:cstheme="minorHAnsi"/>
                <w:b/>
                <w:bCs/>
              </w:rPr>
            </w:pPr>
          </w:p>
        </w:tc>
      </w:tr>
    </w:tbl>
    <w:p w14:paraId="553C2D7C" w14:textId="00A9CDBC" w:rsidR="000015D0" w:rsidRPr="001E0B8E" w:rsidRDefault="000015D0" w:rsidP="00E73F7F">
      <w:pPr>
        <w:spacing w:after="0" w:line="240" w:lineRule="auto"/>
        <w:rPr>
          <w:rFonts w:ascii="Verdana" w:hAnsi="Verdana"/>
          <w:b/>
          <w:bCs/>
        </w:rPr>
      </w:pPr>
    </w:p>
    <w:p w14:paraId="4807BD9A" w14:textId="77777777" w:rsidR="00DE3A81" w:rsidRPr="001E0B8E" w:rsidRDefault="00DE3A81" w:rsidP="00DE3A81">
      <w:pPr>
        <w:rPr>
          <w:rFonts w:ascii="Verdana" w:hAnsi="Verdana"/>
          <w:b/>
          <w:bCs/>
          <w:color w:val="4472C4" w:themeColor="accent1"/>
          <w:sz w:val="28"/>
          <w:szCs w:val="28"/>
        </w:rPr>
      </w:pPr>
      <w:r w:rsidRPr="001E0B8E">
        <w:rPr>
          <w:rFonts w:ascii="Verdana" w:hAnsi="Verdana"/>
          <w:b/>
          <w:bCs/>
          <w:color w:val="4472C4" w:themeColor="accent1"/>
          <w:sz w:val="28"/>
          <w:szCs w:val="28"/>
        </w:rPr>
        <w:t xml:space="preserve">Selected federal rules – proposed </w:t>
      </w:r>
    </w:p>
    <w:p w14:paraId="6C0194C2" w14:textId="17D4466A" w:rsidR="00DE3A81" w:rsidRPr="001E0B8E" w:rsidRDefault="00DE3A81" w:rsidP="00DE3A81">
      <w:r w:rsidRPr="001E0B8E">
        <w:t>Proposed rules are included only when community banks may want to comment. Date posted may not be the same as the Federal Register Date</w:t>
      </w:r>
      <w:r w:rsidR="000B1F54" w:rsidRPr="001E0B8E">
        <w:t xml:space="preserve">. </w:t>
      </w:r>
    </w:p>
    <w:p w14:paraId="772E74AD" w14:textId="42F23F26" w:rsidR="009E6D74" w:rsidRPr="001E0B8E" w:rsidRDefault="009E6D74" w:rsidP="009E6D74">
      <w:pPr>
        <w:rPr>
          <w:b/>
          <w:bCs/>
        </w:rPr>
      </w:pPr>
      <w:r w:rsidRPr="001E0B8E">
        <w:rPr>
          <w:b/>
          <w:bCs/>
        </w:rPr>
        <w:t>PROPOSED RULE WITH REQUEST FOR PUBLIC COMMENT</w:t>
      </w:r>
    </w:p>
    <w:p w14:paraId="30F6CC86" w14:textId="66A72551" w:rsidR="00C96525" w:rsidRDefault="00713BC1" w:rsidP="00C96525">
      <w:pPr>
        <w:spacing w:after="0" w:line="240" w:lineRule="auto"/>
        <w:rPr>
          <w:rFonts w:ascii="Calibri" w:eastAsia="Calibri" w:hAnsi="Calibri" w:cs="Times New Roman"/>
          <w:b/>
          <w:bCs/>
        </w:rPr>
      </w:pPr>
      <w:r w:rsidRPr="0016568C">
        <w:rPr>
          <w:rFonts w:ascii="Calibri" w:eastAsia="Calibri" w:hAnsi="Calibri" w:cs="Times New Roman"/>
          <w:b/>
          <w:bCs/>
        </w:rPr>
        <w:t>11.07.2022</w:t>
      </w:r>
      <w:r w:rsidRPr="00713BC1">
        <w:rPr>
          <w:rFonts w:ascii="Calibri" w:eastAsia="Calibri" w:hAnsi="Calibri" w:cs="Times New Roman"/>
        </w:rPr>
        <w:t xml:space="preserve"> </w:t>
      </w:r>
      <w:r w:rsidRPr="0016568C">
        <w:rPr>
          <w:rFonts w:ascii="Calibri" w:eastAsia="Calibri" w:hAnsi="Calibri" w:cs="Times New Roman"/>
          <w:b/>
          <w:bCs/>
        </w:rPr>
        <w:t>FRB</w:t>
      </w:r>
      <w:r>
        <w:rPr>
          <w:rFonts w:ascii="Calibri" w:eastAsia="Calibri" w:hAnsi="Calibri" w:cs="Times New Roman"/>
        </w:rPr>
        <w:t xml:space="preserve"> </w:t>
      </w:r>
      <w:hyperlink r:id="rId38" w:history="1">
        <w:r w:rsidRPr="0016568C">
          <w:rPr>
            <w:rStyle w:val="Hyperlink"/>
            <w:rFonts w:ascii="Calibri" w:eastAsia="Calibri" w:hAnsi="Calibri" w:cs="Times New Roman"/>
          </w:rPr>
          <w:t>Guidelines for Evaluating Account and Services Requests</w:t>
        </w:r>
      </w:hyperlink>
      <w:r w:rsidRPr="00713BC1">
        <w:rPr>
          <w:rFonts w:ascii="Calibri" w:eastAsia="Calibri" w:hAnsi="Calibri" w:cs="Times New Roman"/>
        </w:rPr>
        <w:t xml:space="preserve"> </w:t>
      </w:r>
      <w:r w:rsidR="0016568C">
        <w:rPr>
          <w:rFonts w:ascii="Calibri" w:eastAsia="Calibri" w:hAnsi="Calibri" w:cs="Times New Roman"/>
        </w:rPr>
        <w:t xml:space="preserve">- </w:t>
      </w:r>
      <w:r w:rsidRPr="00713BC1">
        <w:rPr>
          <w:rFonts w:ascii="Calibri" w:eastAsia="Calibri" w:hAnsi="Calibri" w:cs="Times New Roman"/>
        </w:rPr>
        <w:t xml:space="preserve">The Board of Governors of the Federal Reserve System (Board) is issuing a request for comment on proposed amendments to its Guidelines for Evaluating Account and Services Requests (Account Access Guidelines or Guidelines) that would require the Federal Reserve Banks (Reserve Banks) to publish a periodic list of depository institutions with access to Reserve Bank accounts and/or financial services. </w:t>
      </w:r>
      <w:r w:rsidR="001F38DA">
        <w:rPr>
          <w:rFonts w:ascii="Calibri" w:eastAsia="Calibri" w:hAnsi="Calibri" w:cs="Times New Roman"/>
        </w:rPr>
        <w:t xml:space="preserve"> </w:t>
      </w:r>
      <w:r w:rsidRPr="0016568C">
        <w:rPr>
          <w:rFonts w:ascii="Calibri" w:eastAsia="Calibri" w:hAnsi="Calibri" w:cs="Times New Roman"/>
          <w:b/>
          <w:bCs/>
        </w:rPr>
        <w:t xml:space="preserve">DATE:  </w:t>
      </w:r>
      <w:r w:rsidR="00C96525" w:rsidRPr="00C96525">
        <w:rPr>
          <w:rFonts w:ascii="Calibri" w:eastAsia="Calibri" w:hAnsi="Calibri" w:cs="Times New Roman"/>
          <w:b/>
          <w:bCs/>
        </w:rPr>
        <w:t xml:space="preserve">Comments must be received on or before January 17, 2023. </w:t>
      </w:r>
    </w:p>
    <w:p w14:paraId="354F7CF4" w14:textId="45795F07" w:rsidR="004F4EF2" w:rsidRDefault="004F4EF2" w:rsidP="00C96525">
      <w:pPr>
        <w:spacing w:after="0" w:line="240" w:lineRule="auto"/>
        <w:rPr>
          <w:rFonts w:ascii="Calibri" w:eastAsia="Calibri" w:hAnsi="Calibri" w:cs="Times New Roman"/>
          <w:b/>
          <w:bCs/>
        </w:rPr>
      </w:pPr>
    </w:p>
    <w:p w14:paraId="0758EAAD" w14:textId="77777777" w:rsidR="004F4EF2" w:rsidRPr="004F4EF2" w:rsidRDefault="004F4EF2" w:rsidP="004F4EF2">
      <w:pPr>
        <w:spacing w:after="0" w:line="240" w:lineRule="auto"/>
        <w:rPr>
          <w:rFonts w:ascii="Calibri" w:eastAsia="Calibri" w:hAnsi="Calibri" w:cs="Times New Roman"/>
        </w:rPr>
      </w:pPr>
      <w:r w:rsidRPr="004F4EF2">
        <w:rPr>
          <w:rFonts w:ascii="Calibri" w:eastAsia="Calibri" w:hAnsi="Calibri" w:cs="Times New Roman"/>
          <w:b/>
          <w:bCs/>
        </w:rPr>
        <w:t xml:space="preserve">12.16.2022 FinCEN </w:t>
      </w:r>
      <w:hyperlink r:id="rId39" w:history="1">
        <w:r w:rsidRPr="004F4EF2">
          <w:rPr>
            <w:rFonts w:ascii="Calibri" w:eastAsia="Calibri" w:hAnsi="Calibri" w:cs="Times New Roman"/>
            <w:b/>
            <w:bCs/>
            <w:color w:val="0563C1"/>
            <w:u w:val="single"/>
          </w:rPr>
          <w:t>Beneficial Ownership Information Access and Safeguards, and Use of FinCEN Identifiers for Entities</w:t>
        </w:r>
      </w:hyperlink>
      <w:r w:rsidRPr="004F4EF2">
        <w:rPr>
          <w:rFonts w:ascii="Calibri" w:eastAsia="Calibri" w:hAnsi="Calibri" w:cs="Times New Roman"/>
          <w:b/>
          <w:bCs/>
        </w:rPr>
        <w:t xml:space="preserve"> </w:t>
      </w:r>
      <w:r w:rsidRPr="004F4EF2">
        <w:rPr>
          <w:rFonts w:ascii="Calibri" w:eastAsia="Calibri" w:hAnsi="Calibri" w:cs="Times New Roman"/>
        </w:rPr>
        <w:t xml:space="preserve">FinCEN is promulgating proposed regulations regarding access by authorized recipients to beneficial ownership information (BOI) that will be reported to FinCEN pursuant to Section 6403 of the Corporate Transparency Act (CTA), enacted into law as part of the Anti-Money Laundering Act of 2020 (AML Act), which is itself part of the National Defense Authorization Act for Fiscal Year 2021 (NDAA). The proposed regulations would implement the strict protocols on security and confidentiality required by the CTA to protect sensitive personally identifiable information (PII) reported to FinCEN. The NPRM explains the circumstances in which specified recipients would have access to BOI and outlines data protection protocols and oversight mechanisms applicable to each recipient category. The disclosure of BOI to authorized recipients in accordance with appropriate protocols and oversight will help law enforcement and national security agencies prevent and combat money laundering, terrorist financing, tax fraud, and other illicit activity, as well as protect national security. FinCEN is also proposing regulations to specify when and how reporting companies can use FinCEN identifiers to report the BOI of entities. </w:t>
      </w:r>
      <w:r w:rsidRPr="004F4EF2">
        <w:rPr>
          <w:rFonts w:ascii="Calibri" w:eastAsia="Calibri" w:hAnsi="Calibri" w:cs="Times New Roman"/>
          <w:b/>
          <w:bCs/>
        </w:rPr>
        <w:t>DATES:  Written comments on this proposed rule may be submitted on or before February 14, 2023.</w:t>
      </w:r>
    </w:p>
    <w:p w14:paraId="5C3F66D5" w14:textId="77777777" w:rsidR="004F4EF2" w:rsidRPr="00C96525" w:rsidRDefault="004F4EF2" w:rsidP="00C96525">
      <w:pPr>
        <w:spacing w:after="0" w:line="240" w:lineRule="auto"/>
        <w:rPr>
          <w:rFonts w:ascii="Calibri" w:eastAsia="Calibri" w:hAnsi="Calibri" w:cs="Times New Roman"/>
          <w:b/>
          <w:bCs/>
        </w:rPr>
      </w:pPr>
    </w:p>
    <w:p w14:paraId="07110581" w14:textId="77777777" w:rsidR="00C96525" w:rsidRPr="00C96525" w:rsidRDefault="00C96525" w:rsidP="00C96525">
      <w:pPr>
        <w:spacing w:after="0" w:line="240" w:lineRule="auto"/>
        <w:rPr>
          <w:rFonts w:ascii="Calibri" w:eastAsia="Calibri" w:hAnsi="Calibri" w:cs="Times New Roman"/>
          <w:b/>
          <w:bCs/>
        </w:rPr>
      </w:pPr>
    </w:p>
    <w:sectPr w:rsidR="00C96525" w:rsidRPr="00C96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3436" w14:textId="77777777" w:rsidR="00967589" w:rsidRDefault="00967589" w:rsidP="00AB76E8">
      <w:pPr>
        <w:spacing w:after="0" w:line="240" w:lineRule="auto"/>
      </w:pPr>
      <w:r>
        <w:separator/>
      </w:r>
    </w:p>
  </w:endnote>
  <w:endnote w:type="continuationSeparator" w:id="0">
    <w:p w14:paraId="5BFA3041" w14:textId="77777777" w:rsidR="00967589" w:rsidRDefault="00967589" w:rsidP="00A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64AD" w14:textId="77777777" w:rsidR="00967589" w:rsidRDefault="00967589" w:rsidP="00AB76E8">
      <w:pPr>
        <w:spacing w:after="0" w:line="240" w:lineRule="auto"/>
      </w:pPr>
      <w:r>
        <w:separator/>
      </w:r>
    </w:p>
  </w:footnote>
  <w:footnote w:type="continuationSeparator" w:id="0">
    <w:p w14:paraId="737D0304" w14:textId="77777777" w:rsidR="00967589" w:rsidRDefault="00967589" w:rsidP="00A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CF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25A0"/>
    <w:multiLevelType w:val="hybridMultilevel"/>
    <w:tmpl w:val="51F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9B7"/>
    <w:multiLevelType w:val="hybridMultilevel"/>
    <w:tmpl w:val="029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715FE"/>
    <w:multiLevelType w:val="hybridMultilevel"/>
    <w:tmpl w:val="A6E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CB7"/>
    <w:multiLevelType w:val="hybridMultilevel"/>
    <w:tmpl w:val="796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63935"/>
    <w:multiLevelType w:val="hybridMultilevel"/>
    <w:tmpl w:val="DBF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F01DB"/>
    <w:multiLevelType w:val="hybridMultilevel"/>
    <w:tmpl w:val="E2E626A4"/>
    <w:lvl w:ilvl="0" w:tplc="D9089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F6D37"/>
    <w:multiLevelType w:val="hybridMultilevel"/>
    <w:tmpl w:val="12AE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06338"/>
    <w:multiLevelType w:val="hybridMultilevel"/>
    <w:tmpl w:val="29F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56B41"/>
    <w:multiLevelType w:val="hybridMultilevel"/>
    <w:tmpl w:val="D1F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76DF5"/>
    <w:multiLevelType w:val="hybridMultilevel"/>
    <w:tmpl w:val="1EE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C7530"/>
    <w:multiLevelType w:val="hybridMultilevel"/>
    <w:tmpl w:val="3E1E6D26"/>
    <w:lvl w:ilvl="0" w:tplc="6BD67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63BE5"/>
    <w:multiLevelType w:val="hybridMultilevel"/>
    <w:tmpl w:val="DD56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9D1"/>
    <w:multiLevelType w:val="hybridMultilevel"/>
    <w:tmpl w:val="36F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F5A58"/>
    <w:multiLevelType w:val="hybridMultilevel"/>
    <w:tmpl w:val="787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F0689"/>
    <w:multiLevelType w:val="hybridMultilevel"/>
    <w:tmpl w:val="E89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A166F"/>
    <w:multiLevelType w:val="hybridMultilevel"/>
    <w:tmpl w:val="C03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D168E"/>
    <w:multiLevelType w:val="hybridMultilevel"/>
    <w:tmpl w:val="01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8520E"/>
    <w:multiLevelType w:val="hybridMultilevel"/>
    <w:tmpl w:val="4F0C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17FCC"/>
    <w:multiLevelType w:val="hybridMultilevel"/>
    <w:tmpl w:val="FF78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47492"/>
    <w:multiLevelType w:val="hybridMultilevel"/>
    <w:tmpl w:val="B7C694F2"/>
    <w:lvl w:ilvl="0" w:tplc="16E0E7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10503"/>
    <w:multiLevelType w:val="hybridMultilevel"/>
    <w:tmpl w:val="095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B6CA2"/>
    <w:multiLevelType w:val="hybridMultilevel"/>
    <w:tmpl w:val="A99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A02E7"/>
    <w:multiLevelType w:val="hybridMultilevel"/>
    <w:tmpl w:val="FF5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54717"/>
    <w:multiLevelType w:val="hybridMultilevel"/>
    <w:tmpl w:val="FE84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84DCA"/>
    <w:multiLevelType w:val="multilevel"/>
    <w:tmpl w:val="F0661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F2F8B"/>
    <w:multiLevelType w:val="hybridMultilevel"/>
    <w:tmpl w:val="42D66FD4"/>
    <w:lvl w:ilvl="0" w:tplc="16E0E7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C4FA6"/>
    <w:multiLevelType w:val="hybridMultilevel"/>
    <w:tmpl w:val="8F68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14C29"/>
    <w:multiLevelType w:val="hybridMultilevel"/>
    <w:tmpl w:val="202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A25AF"/>
    <w:multiLevelType w:val="hybridMultilevel"/>
    <w:tmpl w:val="D92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D4044"/>
    <w:multiLevelType w:val="hybridMultilevel"/>
    <w:tmpl w:val="E6DAF492"/>
    <w:lvl w:ilvl="0" w:tplc="C51AFA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A0679C"/>
    <w:multiLevelType w:val="hybridMultilevel"/>
    <w:tmpl w:val="24B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C23AF"/>
    <w:multiLevelType w:val="hybridMultilevel"/>
    <w:tmpl w:val="78B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55E0F"/>
    <w:multiLevelType w:val="hybridMultilevel"/>
    <w:tmpl w:val="64A8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30E1B"/>
    <w:multiLevelType w:val="hybridMultilevel"/>
    <w:tmpl w:val="AF7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C0CFA"/>
    <w:multiLevelType w:val="hybridMultilevel"/>
    <w:tmpl w:val="F134043A"/>
    <w:lvl w:ilvl="0" w:tplc="AD66A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85017"/>
    <w:multiLevelType w:val="hybridMultilevel"/>
    <w:tmpl w:val="A7D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86DEE"/>
    <w:multiLevelType w:val="hybridMultilevel"/>
    <w:tmpl w:val="12C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672C0"/>
    <w:multiLevelType w:val="hybridMultilevel"/>
    <w:tmpl w:val="F1B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C752A"/>
    <w:multiLevelType w:val="hybridMultilevel"/>
    <w:tmpl w:val="372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CDA"/>
    <w:multiLevelType w:val="hybridMultilevel"/>
    <w:tmpl w:val="AA5405DC"/>
    <w:lvl w:ilvl="0" w:tplc="6BD676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863609">
    <w:abstractNumId w:val="0"/>
  </w:num>
  <w:num w:numId="2" w16cid:durableId="154299158">
    <w:abstractNumId w:val="37"/>
  </w:num>
  <w:num w:numId="3" w16cid:durableId="1033188457">
    <w:abstractNumId w:val="23"/>
  </w:num>
  <w:num w:numId="4" w16cid:durableId="146364320">
    <w:abstractNumId w:val="21"/>
  </w:num>
  <w:num w:numId="5" w16cid:durableId="1344162106">
    <w:abstractNumId w:val="3"/>
  </w:num>
  <w:num w:numId="6" w16cid:durableId="483621204">
    <w:abstractNumId w:val="30"/>
  </w:num>
  <w:num w:numId="7" w16cid:durableId="603734935">
    <w:abstractNumId w:val="13"/>
  </w:num>
  <w:num w:numId="8" w16cid:durableId="1234198324">
    <w:abstractNumId w:val="10"/>
  </w:num>
  <w:num w:numId="9" w16cid:durableId="1769235601">
    <w:abstractNumId w:val="6"/>
  </w:num>
  <w:num w:numId="10" w16cid:durableId="11685787">
    <w:abstractNumId w:val="15"/>
  </w:num>
  <w:num w:numId="11" w16cid:durableId="2005620388">
    <w:abstractNumId w:val="20"/>
  </w:num>
  <w:num w:numId="12" w16cid:durableId="1858151858">
    <w:abstractNumId w:val="26"/>
  </w:num>
  <w:num w:numId="13" w16cid:durableId="1352608857">
    <w:abstractNumId w:val="2"/>
  </w:num>
  <w:num w:numId="14" w16cid:durableId="1940941564">
    <w:abstractNumId w:val="9"/>
  </w:num>
  <w:num w:numId="15" w16cid:durableId="2037195609">
    <w:abstractNumId w:val="18"/>
  </w:num>
  <w:num w:numId="16" w16cid:durableId="1122456834">
    <w:abstractNumId w:val="36"/>
  </w:num>
  <w:num w:numId="17" w16cid:durableId="1208108947">
    <w:abstractNumId w:val="4"/>
  </w:num>
  <w:num w:numId="18" w16cid:durableId="263848325">
    <w:abstractNumId w:val="38"/>
  </w:num>
  <w:num w:numId="19" w16cid:durableId="855733444">
    <w:abstractNumId w:val="35"/>
  </w:num>
  <w:num w:numId="20" w16cid:durableId="721909019">
    <w:abstractNumId w:val="32"/>
  </w:num>
  <w:num w:numId="21" w16cid:durableId="342821171">
    <w:abstractNumId w:val="8"/>
  </w:num>
  <w:num w:numId="22" w16cid:durableId="858591704">
    <w:abstractNumId w:val="19"/>
  </w:num>
  <w:num w:numId="23" w16cid:durableId="1395665504">
    <w:abstractNumId w:val="28"/>
  </w:num>
  <w:num w:numId="24" w16cid:durableId="101850790">
    <w:abstractNumId w:val="5"/>
  </w:num>
  <w:num w:numId="25" w16cid:durableId="2122338993">
    <w:abstractNumId w:val="12"/>
  </w:num>
  <w:num w:numId="26" w16cid:durableId="1581404804">
    <w:abstractNumId w:val="33"/>
  </w:num>
  <w:num w:numId="27" w16cid:durableId="768164902">
    <w:abstractNumId w:val="14"/>
  </w:num>
  <w:num w:numId="28" w16cid:durableId="2069302439">
    <w:abstractNumId w:val="7"/>
  </w:num>
  <w:num w:numId="29" w16cid:durableId="1307315739">
    <w:abstractNumId w:val="27"/>
  </w:num>
  <w:num w:numId="30" w16cid:durableId="601227548">
    <w:abstractNumId w:val="17"/>
  </w:num>
  <w:num w:numId="31" w16cid:durableId="864296627">
    <w:abstractNumId w:val="39"/>
  </w:num>
  <w:num w:numId="32" w16cid:durableId="735207726">
    <w:abstractNumId w:val="31"/>
  </w:num>
  <w:num w:numId="33" w16cid:durableId="75981758">
    <w:abstractNumId w:val="25"/>
  </w:num>
  <w:num w:numId="34" w16cid:durableId="1670981520">
    <w:abstractNumId w:val="34"/>
  </w:num>
  <w:num w:numId="35" w16cid:durableId="147746418">
    <w:abstractNumId w:val="22"/>
  </w:num>
  <w:num w:numId="36" w16cid:durableId="1395542126">
    <w:abstractNumId w:val="29"/>
  </w:num>
  <w:num w:numId="37" w16cid:durableId="768965621">
    <w:abstractNumId w:val="11"/>
  </w:num>
  <w:num w:numId="38" w16cid:durableId="513881454">
    <w:abstractNumId w:val="40"/>
  </w:num>
  <w:num w:numId="39" w16cid:durableId="1622371671">
    <w:abstractNumId w:val="1"/>
  </w:num>
  <w:num w:numId="40" w16cid:durableId="2101633044">
    <w:abstractNumId w:val="16"/>
  </w:num>
  <w:num w:numId="41" w16cid:durableId="202481975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F"/>
    <w:rsid w:val="000015D0"/>
    <w:rsid w:val="000016A6"/>
    <w:rsid w:val="000021BD"/>
    <w:rsid w:val="0000246C"/>
    <w:rsid w:val="00002476"/>
    <w:rsid w:val="00003468"/>
    <w:rsid w:val="00003B24"/>
    <w:rsid w:val="00004036"/>
    <w:rsid w:val="00004934"/>
    <w:rsid w:val="000056DE"/>
    <w:rsid w:val="000066DE"/>
    <w:rsid w:val="00006F06"/>
    <w:rsid w:val="00007200"/>
    <w:rsid w:val="00007859"/>
    <w:rsid w:val="00011E1B"/>
    <w:rsid w:val="00012313"/>
    <w:rsid w:val="00012DC3"/>
    <w:rsid w:val="000165E0"/>
    <w:rsid w:val="000176ED"/>
    <w:rsid w:val="00017DF1"/>
    <w:rsid w:val="00023FC2"/>
    <w:rsid w:val="000241AE"/>
    <w:rsid w:val="00027E93"/>
    <w:rsid w:val="00030336"/>
    <w:rsid w:val="00031449"/>
    <w:rsid w:val="0003519C"/>
    <w:rsid w:val="00037F6E"/>
    <w:rsid w:val="0004072D"/>
    <w:rsid w:val="00040A32"/>
    <w:rsid w:val="00040E46"/>
    <w:rsid w:val="0004171F"/>
    <w:rsid w:val="0004292A"/>
    <w:rsid w:val="00042946"/>
    <w:rsid w:val="00042948"/>
    <w:rsid w:val="0004542F"/>
    <w:rsid w:val="000459BB"/>
    <w:rsid w:val="00046C60"/>
    <w:rsid w:val="000506E4"/>
    <w:rsid w:val="0005096D"/>
    <w:rsid w:val="00052357"/>
    <w:rsid w:val="00053F03"/>
    <w:rsid w:val="000543B8"/>
    <w:rsid w:val="00055210"/>
    <w:rsid w:val="00055C21"/>
    <w:rsid w:val="00055D07"/>
    <w:rsid w:val="0005633C"/>
    <w:rsid w:val="0006053E"/>
    <w:rsid w:val="00060C72"/>
    <w:rsid w:val="00063F9D"/>
    <w:rsid w:val="00064407"/>
    <w:rsid w:val="0006527D"/>
    <w:rsid w:val="000657AF"/>
    <w:rsid w:val="00071639"/>
    <w:rsid w:val="0007261C"/>
    <w:rsid w:val="000729B4"/>
    <w:rsid w:val="0007380C"/>
    <w:rsid w:val="00073C70"/>
    <w:rsid w:val="00074091"/>
    <w:rsid w:val="0007540E"/>
    <w:rsid w:val="00077C4C"/>
    <w:rsid w:val="00077EA8"/>
    <w:rsid w:val="00080B48"/>
    <w:rsid w:val="000829A5"/>
    <w:rsid w:val="00082D5C"/>
    <w:rsid w:val="0008372F"/>
    <w:rsid w:val="0008377A"/>
    <w:rsid w:val="000839C5"/>
    <w:rsid w:val="00084AB0"/>
    <w:rsid w:val="00084E78"/>
    <w:rsid w:val="0008583F"/>
    <w:rsid w:val="000860B5"/>
    <w:rsid w:val="00086E51"/>
    <w:rsid w:val="000875E2"/>
    <w:rsid w:val="00087B7E"/>
    <w:rsid w:val="00090AE1"/>
    <w:rsid w:val="00091EE7"/>
    <w:rsid w:val="000927FD"/>
    <w:rsid w:val="00092837"/>
    <w:rsid w:val="00092F17"/>
    <w:rsid w:val="00093D86"/>
    <w:rsid w:val="00094EE1"/>
    <w:rsid w:val="00095BCE"/>
    <w:rsid w:val="00097CBC"/>
    <w:rsid w:val="000A0F22"/>
    <w:rsid w:val="000A149C"/>
    <w:rsid w:val="000A2219"/>
    <w:rsid w:val="000A2BC4"/>
    <w:rsid w:val="000A43C2"/>
    <w:rsid w:val="000A64FC"/>
    <w:rsid w:val="000A6A4A"/>
    <w:rsid w:val="000A6EB7"/>
    <w:rsid w:val="000A751E"/>
    <w:rsid w:val="000A7708"/>
    <w:rsid w:val="000B0B8F"/>
    <w:rsid w:val="000B1151"/>
    <w:rsid w:val="000B13F2"/>
    <w:rsid w:val="000B1F54"/>
    <w:rsid w:val="000B1F6F"/>
    <w:rsid w:val="000B2559"/>
    <w:rsid w:val="000B25B6"/>
    <w:rsid w:val="000B3503"/>
    <w:rsid w:val="000B37AA"/>
    <w:rsid w:val="000B3DA3"/>
    <w:rsid w:val="000B55DF"/>
    <w:rsid w:val="000B72EF"/>
    <w:rsid w:val="000B7430"/>
    <w:rsid w:val="000B7D60"/>
    <w:rsid w:val="000C0084"/>
    <w:rsid w:val="000C0540"/>
    <w:rsid w:val="000C101D"/>
    <w:rsid w:val="000C165A"/>
    <w:rsid w:val="000C258A"/>
    <w:rsid w:val="000C2AF2"/>
    <w:rsid w:val="000C565B"/>
    <w:rsid w:val="000C5CD9"/>
    <w:rsid w:val="000C5D22"/>
    <w:rsid w:val="000C641F"/>
    <w:rsid w:val="000D0795"/>
    <w:rsid w:val="000D0E09"/>
    <w:rsid w:val="000D1FC3"/>
    <w:rsid w:val="000D2BF4"/>
    <w:rsid w:val="000D2C44"/>
    <w:rsid w:val="000D3AF3"/>
    <w:rsid w:val="000D48CC"/>
    <w:rsid w:val="000D4DCA"/>
    <w:rsid w:val="000D6337"/>
    <w:rsid w:val="000D7338"/>
    <w:rsid w:val="000D7480"/>
    <w:rsid w:val="000D77ED"/>
    <w:rsid w:val="000D7D18"/>
    <w:rsid w:val="000E06EE"/>
    <w:rsid w:val="000E08F1"/>
    <w:rsid w:val="000E1417"/>
    <w:rsid w:val="000E1F65"/>
    <w:rsid w:val="000E3A44"/>
    <w:rsid w:val="000E3AB8"/>
    <w:rsid w:val="000E5C69"/>
    <w:rsid w:val="000E5FC6"/>
    <w:rsid w:val="000E63A1"/>
    <w:rsid w:val="000F2448"/>
    <w:rsid w:val="000F2639"/>
    <w:rsid w:val="000F2AC7"/>
    <w:rsid w:val="000F32A8"/>
    <w:rsid w:val="000F3749"/>
    <w:rsid w:val="000F3A65"/>
    <w:rsid w:val="000F4453"/>
    <w:rsid w:val="000F527B"/>
    <w:rsid w:val="000F603B"/>
    <w:rsid w:val="000F627B"/>
    <w:rsid w:val="000F6EFE"/>
    <w:rsid w:val="000F6FDF"/>
    <w:rsid w:val="00100660"/>
    <w:rsid w:val="0010196E"/>
    <w:rsid w:val="00101D7C"/>
    <w:rsid w:val="00101E10"/>
    <w:rsid w:val="00102CBA"/>
    <w:rsid w:val="00102F50"/>
    <w:rsid w:val="00102F74"/>
    <w:rsid w:val="00103047"/>
    <w:rsid w:val="001034DC"/>
    <w:rsid w:val="00104298"/>
    <w:rsid w:val="0010456C"/>
    <w:rsid w:val="00104F1C"/>
    <w:rsid w:val="001054F0"/>
    <w:rsid w:val="00110CB3"/>
    <w:rsid w:val="00111C77"/>
    <w:rsid w:val="00112237"/>
    <w:rsid w:val="00112ADB"/>
    <w:rsid w:val="00114413"/>
    <w:rsid w:val="0011445C"/>
    <w:rsid w:val="00114911"/>
    <w:rsid w:val="001154FD"/>
    <w:rsid w:val="00115F36"/>
    <w:rsid w:val="00120FCB"/>
    <w:rsid w:val="00123B9D"/>
    <w:rsid w:val="00124A24"/>
    <w:rsid w:val="00124C70"/>
    <w:rsid w:val="0012665F"/>
    <w:rsid w:val="00126CDA"/>
    <w:rsid w:val="00130838"/>
    <w:rsid w:val="001309D2"/>
    <w:rsid w:val="00131306"/>
    <w:rsid w:val="00131E42"/>
    <w:rsid w:val="0013476D"/>
    <w:rsid w:val="00135D7E"/>
    <w:rsid w:val="00135EA0"/>
    <w:rsid w:val="0013607D"/>
    <w:rsid w:val="00136092"/>
    <w:rsid w:val="0013614E"/>
    <w:rsid w:val="00137419"/>
    <w:rsid w:val="00140F3B"/>
    <w:rsid w:val="00141D02"/>
    <w:rsid w:val="00141D70"/>
    <w:rsid w:val="00142500"/>
    <w:rsid w:val="001426AE"/>
    <w:rsid w:val="001437AC"/>
    <w:rsid w:val="00143AA9"/>
    <w:rsid w:val="00144AEB"/>
    <w:rsid w:val="0014564A"/>
    <w:rsid w:val="001462DF"/>
    <w:rsid w:val="00147358"/>
    <w:rsid w:val="001474E4"/>
    <w:rsid w:val="00147FC4"/>
    <w:rsid w:val="00151FB2"/>
    <w:rsid w:val="001520D7"/>
    <w:rsid w:val="001532F2"/>
    <w:rsid w:val="00155556"/>
    <w:rsid w:val="0015612E"/>
    <w:rsid w:val="001561BB"/>
    <w:rsid w:val="00156AB8"/>
    <w:rsid w:val="00160EAA"/>
    <w:rsid w:val="00161077"/>
    <w:rsid w:val="00164786"/>
    <w:rsid w:val="00164D16"/>
    <w:rsid w:val="00164F9C"/>
    <w:rsid w:val="00165635"/>
    <w:rsid w:val="0016568C"/>
    <w:rsid w:val="001664B8"/>
    <w:rsid w:val="00167337"/>
    <w:rsid w:val="0017007A"/>
    <w:rsid w:val="001717B4"/>
    <w:rsid w:val="00171835"/>
    <w:rsid w:val="00173B85"/>
    <w:rsid w:val="00173E73"/>
    <w:rsid w:val="00174819"/>
    <w:rsid w:val="00174BBD"/>
    <w:rsid w:val="00174FC1"/>
    <w:rsid w:val="00175495"/>
    <w:rsid w:val="0017586C"/>
    <w:rsid w:val="00175BE7"/>
    <w:rsid w:val="00176259"/>
    <w:rsid w:val="00176684"/>
    <w:rsid w:val="0017706F"/>
    <w:rsid w:val="0017773B"/>
    <w:rsid w:val="00177C7E"/>
    <w:rsid w:val="00181FA9"/>
    <w:rsid w:val="0018245F"/>
    <w:rsid w:val="0018290F"/>
    <w:rsid w:val="00182A84"/>
    <w:rsid w:val="00182C23"/>
    <w:rsid w:val="00183DF1"/>
    <w:rsid w:val="00185EE3"/>
    <w:rsid w:val="00185F7F"/>
    <w:rsid w:val="0018662E"/>
    <w:rsid w:val="00187885"/>
    <w:rsid w:val="00187BE0"/>
    <w:rsid w:val="0019124C"/>
    <w:rsid w:val="0019152D"/>
    <w:rsid w:val="0019160D"/>
    <w:rsid w:val="00193024"/>
    <w:rsid w:val="00193060"/>
    <w:rsid w:val="00193937"/>
    <w:rsid w:val="00194461"/>
    <w:rsid w:val="00196540"/>
    <w:rsid w:val="00196808"/>
    <w:rsid w:val="00196896"/>
    <w:rsid w:val="001975A9"/>
    <w:rsid w:val="00197CDE"/>
    <w:rsid w:val="001A082B"/>
    <w:rsid w:val="001A0B0C"/>
    <w:rsid w:val="001A109A"/>
    <w:rsid w:val="001A155F"/>
    <w:rsid w:val="001A1C4A"/>
    <w:rsid w:val="001A3E69"/>
    <w:rsid w:val="001A6499"/>
    <w:rsid w:val="001A65ED"/>
    <w:rsid w:val="001A6DA8"/>
    <w:rsid w:val="001B052B"/>
    <w:rsid w:val="001B0576"/>
    <w:rsid w:val="001B1AEF"/>
    <w:rsid w:val="001B1E30"/>
    <w:rsid w:val="001B58BF"/>
    <w:rsid w:val="001B6048"/>
    <w:rsid w:val="001B7A8B"/>
    <w:rsid w:val="001C168B"/>
    <w:rsid w:val="001C1AFD"/>
    <w:rsid w:val="001C2B67"/>
    <w:rsid w:val="001C41C8"/>
    <w:rsid w:val="001C5D4B"/>
    <w:rsid w:val="001C6318"/>
    <w:rsid w:val="001C7068"/>
    <w:rsid w:val="001D1271"/>
    <w:rsid w:val="001D1BBC"/>
    <w:rsid w:val="001D2DF0"/>
    <w:rsid w:val="001D2E7A"/>
    <w:rsid w:val="001D37E3"/>
    <w:rsid w:val="001D3863"/>
    <w:rsid w:val="001D488F"/>
    <w:rsid w:val="001D5646"/>
    <w:rsid w:val="001D6D08"/>
    <w:rsid w:val="001E0B8E"/>
    <w:rsid w:val="001E10BF"/>
    <w:rsid w:val="001E14F9"/>
    <w:rsid w:val="001E232D"/>
    <w:rsid w:val="001E26AB"/>
    <w:rsid w:val="001E28D8"/>
    <w:rsid w:val="001E4438"/>
    <w:rsid w:val="001E5149"/>
    <w:rsid w:val="001E51B9"/>
    <w:rsid w:val="001E5831"/>
    <w:rsid w:val="001E5D0F"/>
    <w:rsid w:val="001E5E93"/>
    <w:rsid w:val="001E6667"/>
    <w:rsid w:val="001E671F"/>
    <w:rsid w:val="001E6E26"/>
    <w:rsid w:val="001E7310"/>
    <w:rsid w:val="001F1233"/>
    <w:rsid w:val="001F1458"/>
    <w:rsid w:val="001F1FB1"/>
    <w:rsid w:val="001F2C79"/>
    <w:rsid w:val="001F314D"/>
    <w:rsid w:val="001F38DA"/>
    <w:rsid w:val="001F4145"/>
    <w:rsid w:val="001F4CB2"/>
    <w:rsid w:val="001F4E8C"/>
    <w:rsid w:val="001F5905"/>
    <w:rsid w:val="001F6625"/>
    <w:rsid w:val="001F676D"/>
    <w:rsid w:val="001F67D9"/>
    <w:rsid w:val="001F773B"/>
    <w:rsid w:val="0020039C"/>
    <w:rsid w:val="00201056"/>
    <w:rsid w:val="002042AE"/>
    <w:rsid w:val="002047DB"/>
    <w:rsid w:val="00204DDF"/>
    <w:rsid w:val="0020545B"/>
    <w:rsid w:val="00206960"/>
    <w:rsid w:val="00206B36"/>
    <w:rsid w:val="00207039"/>
    <w:rsid w:val="002078B2"/>
    <w:rsid w:val="00211348"/>
    <w:rsid w:val="00211AFD"/>
    <w:rsid w:val="00212994"/>
    <w:rsid w:val="00213FAB"/>
    <w:rsid w:val="00214133"/>
    <w:rsid w:val="00214B26"/>
    <w:rsid w:val="00215900"/>
    <w:rsid w:val="00222A5D"/>
    <w:rsid w:val="002247F1"/>
    <w:rsid w:val="00226226"/>
    <w:rsid w:val="002271C3"/>
    <w:rsid w:val="0023214C"/>
    <w:rsid w:val="0023279E"/>
    <w:rsid w:val="0023364A"/>
    <w:rsid w:val="00233CB2"/>
    <w:rsid w:val="002347CA"/>
    <w:rsid w:val="00235E45"/>
    <w:rsid w:val="00235F82"/>
    <w:rsid w:val="002377E0"/>
    <w:rsid w:val="002401DA"/>
    <w:rsid w:val="00240C55"/>
    <w:rsid w:val="00240E88"/>
    <w:rsid w:val="0024252B"/>
    <w:rsid w:val="002426AE"/>
    <w:rsid w:val="002427FB"/>
    <w:rsid w:val="00242F01"/>
    <w:rsid w:val="00243F04"/>
    <w:rsid w:val="00244385"/>
    <w:rsid w:val="00245AA7"/>
    <w:rsid w:val="00250A64"/>
    <w:rsid w:val="00252255"/>
    <w:rsid w:val="00252511"/>
    <w:rsid w:val="002529F2"/>
    <w:rsid w:val="00252E1A"/>
    <w:rsid w:val="00253248"/>
    <w:rsid w:val="00253A0E"/>
    <w:rsid w:val="00255792"/>
    <w:rsid w:val="00257F60"/>
    <w:rsid w:val="00260542"/>
    <w:rsid w:val="00262CF6"/>
    <w:rsid w:val="00263982"/>
    <w:rsid w:val="002643F2"/>
    <w:rsid w:val="002647D4"/>
    <w:rsid w:val="0026496A"/>
    <w:rsid w:val="00265169"/>
    <w:rsid w:val="00266285"/>
    <w:rsid w:val="002666BA"/>
    <w:rsid w:val="002676FB"/>
    <w:rsid w:val="00270604"/>
    <w:rsid w:val="00270680"/>
    <w:rsid w:val="002717F1"/>
    <w:rsid w:val="00273281"/>
    <w:rsid w:val="00275B21"/>
    <w:rsid w:val="00276E33"/>
    <w:rsid w:val="00277784"/>
    <w:rsid w:val="00281561"/>
    <w:rsid w:val="00282634"/>
    <w:rsid w:val="0028307B"/>
    <w:rsid w:val="00283365"/>
    <w:rsid w:val="002833EB"/>
    <w:rsid w:val="002836C9"/>
    <w:rsid w:val="002849A2"/>
    <w:rsid w:val="00286FB7"/>
    <w:rsid w:val="00291837"/>
    <w:rsid w:val="00291C3E"/>
    <w:rsid w:val="002928E8"/>
    <w:rsid w:val="0029389E"/>
    <w:rsid w:val="00293C22"/>
    <w:rsid w:val="00294A3E"/>
    <w:rsid w:val="00294AF6"/>
    <w:rsid w:val="00295622"/>
    <w:rsid w:val="00295974"/>
    <w:rsid w:val="00295E63"/>
    <w:rsid w:val="00296204"/>
    <w:rsid w:val="00297468"/>
    <w:rsid w:val="00297CD3"/>
    <w:rsid w:val="002A0EDB"/>
    <w:rsid w:val="002A189C"/>
    <w:rsid w:val="002A3E08"/>
    <w:rsid w:val="002A42AC"/>
    <w:rsid w:val="002A4720"/>
    <w:rsid w:val="002A573A"/>
    <w:rsid w:val="002A5BB3"/>
    <w:rsid w:val="002A7CB7"/>
    <w:rsid w:val="002B1659"/>
    <w:rsid w:val="002B228A"/>
    <w:rsid w:val="002B23ED"/>
    <w:rsid w:val="002B28EB"/>
    <w:rsid w:val="002B41C9"/>
    <w:rsid w:val="002B4364"/>
    <w:rsid w:val="002B494B"/>
    <w:rsid w:val="002B4A9D"/>
    <w:rsid w:val="002B5BAE"/>
    <w:rsid w:val="002B5C03"/>
    <w:rsid w:val="002B5E0F"/>
    <w:rsid w:val="002B7320"/>
    <w:rsid w:val="002C1D3B"/>
    <w:rsid w:val="002C1DC1"/>
    <w:rsid w:val="002C220B"/>
    <w:rsid w:val="002C37CF"/>
    <w:rsid w:val="002C5CE6"/>
    <w:rsid w:val="002C5FA0"/>
    <w:rsid w:val="002C60C8"/>
    <w:rsid w:val="002D11A9"/>
    <w:rsid w:val="002D1D8F"/>
    <w:rsid w:val="002D2079"/>
    <w:rsid w:val="002D2FB1"/>
    <w:rsid w:val="002D375E"/>
    <w:rsid w:val="002D406F"/>
    <w:rsid w:val="002D4CC5"/>
    <w:rsid w:val="002D568D"/>
    <w:rsid w:val="002D5B82"/>
    <w:rsid w:val="002D5F94"/>
    <w:rsid w:val="002D73C7"/>
    <w:rsid w:val="002E0D22"/>
    <w:rsid w:val="002E0FF0"/>
    <w:rsid w:val="002E153C"/>
    <w:rsid w:val="002E4B49"/>
    <w:rsid w:val="002E6697"/>
    <w:rsid w:val="002E732E"/>
    <w:rsid w:val="002E7E77"/>
    <w:rsid w:val="002F20C0"/>
    <w:rsid w:val="002F2443"/>
    <w:rsid w:val="002F3EE2"/>
    <w:rsid w:val="002F3FFA"/>
    <w:rsid w:val="002F425D"/>
    <w:rsid w:val="002F5427"/>
    <w:rsid w:val="002F55BC"/>
    <w:rsid w:val="003004A4"/>
    <w:rsid w:val="003008A0"/>
    <w:rsid w:val="00300CE7"/>
    <w:rsid w:val="00301388"/>
    <w:rsid w:val="0030170F"/>
    <w:rsid w:val="00301D47"/>
    <w:rsid w:val="00302256"/>
    <w:rsid w:val="003030CD"/>
    <w:rsid w:val="0030342B"/>
    <w:rsid w:val="00304E4D"/>
    <w:rsid w:val="00306225"/>
    <w:rsid w:val="00313783"/>
    <w:rsid w:val="0031700F"/>
    <w:rsid w:val="00317AEF"/>
    <w:rsid w:val="003207D2"/>
    <w:rsid w:val="00320A6D"/>
    <w:rsid w:val="00320DB7"/>
    <w:rsid w:val="00321346"/>
    <w:rsid w:val="00321FD9"/>
    <w:rsid w:val="00324EF3"/>
    <w:rsid w:val="003258D9"/>
    <w:rsid w:val="00325E46"/>
    <w:rsid w:val="0032610A"/>
    <w:rsid w:val="0032650E"/>
    <w:rsid w:val="00326BE1"/>
    <w:rsid w:val="0033100C"/>
    <w:rsid w:val="00332FE1"/>
    <w:rsid w:val="003330BD"/>
    <w:rsid w:val="00334A58"/>
    <w:rsid w:val="00335317"/>
    <w:rsid w:val="00335522"/>
    <w:rsid w:val="003362E3"/>
    <w:rsid w:val="003369CA"/>
    <w:rsid w:val="00340659"/>
    <w:rsid w:val="00340F71"/>
    <w:rsid w:val="0034369F"/>
    <w:rsid w:val="00345562"/>
    <w:rsid w:val="00346DAC"/>
    <w:rsid w:val="003471FD"/>
    <w:rsid w:val="00347356"/>
    <w:rsid w:val="003476D4"/>
    <w:rsid w:val="003503E7"/>
    <w:rsid w:val="00350BB9"/>
    <w:rsid w:val="00355BA8"/>
    <w:rsid w:val="00356E81"/>
    <w:rsid w:val="0035737A"/>
    <w:rsid w:val="0036098B"/>
    <w:rsid w:val="00360ED5"/>
    <w:rsid w:val="0036142F"/>
    <w:rsid w:val="00361CD4"/>
    <w:rsid w:val="00362447"/>
    <w:rsid w:val="00365242"/>
    <w:rsid w:val="0036554A"/>
    <w:rsid w:val="003669EB"/>
    <w:rsid w:val="00367994"/>
    <w:rsid w:val="0037269D"/>
    <w:rsid w:val="00372BC1"/>
    <w:rsid w:val="00373A48"/>
    <w:rsid w:val="00373F16"/>
    <w:rsid w:val="00374839"/>
    <w:rsid w:val="00375495"/>
    <w:rsid w:val="003755FA"/>
    <w:rsid w:val="0037581E"/>
    <w:rsid w:val="00375F87"/>
    <w:rsid w:val="003763C6"/>
    <w:rsid w:val="00380839"/>
    <w:rsid w:val="00381B8C"/>
    <w:rsid w:val="003825EE"/>
    <w:rsid w:val="00383356"/>
    <w:rsid w:val="003835A4"/>
    <w:rsid w:val="00383973"/>
    <w:rsid w:val="00384159"/>
    <w:rsid w:val="003844CD"/>
    <w:rsid w:val="00384AF2"/>
    <w:rsid w:val="003855A0"/>
    <w:rsid w:val="003856BD"/>
    <w:rsid w:val="00390138"/>
    <w:rsid w:val="003904FF"/>
    <w:rsid w:val="003906F6"/>
    <w:rsid w:val="00390D37"/>
    <w:rsid w:val="003925A3"/>
    <w:rsid w:val="00392F5E"/>
    <w:rsid w:val="00396253"/>
    <w:rsid w:val="00396628"/>
    <w:rsid w:val="0039666D"/>
    <w:rsid w:val="003A0EF7"/>
    <w:rsid w:val="003A1794"/>
    <w:rsid w:val="003A1DFD"/>
    <w:rsid w:val="003A3A27"/>
    <w:rsid w:val="003A4408"/>
    <w:rsid w:val="003A4BB6"/>
    <w:rsid w:val="003A5F3D"/>
    <w:rsid w:val="003B23CF"/>
    <w:rsid w:val="003B2581"/>
    <w:rsid w:val="003B277B"/>
    <w:rsid w:val="003B278F"/>
    <w:rsid w:val="003B3447"/>
    <w:rsid w:val="003B4355"/>
    <w:rsid w:val="003B7061"/>
    <w:rsid w:val="003B7A4A"/>
    <w:rsid w:val="003C05F9"/>
    <w:rsid w:val="003C0AFA"/>
    <w:rsid w:val="003C0BDA"/>
    <w:rsid w:val="003C0F23"/>
    <w:rsid w:val="003C45A9"/>
    <w:rsid w:val="003C5160"/>
    <w:rsid w:val="003C5691"/>
    <w:rsid w:val="003C582F"/>
    <w:rsid w:val="003C6161"/>
    <w:rsid w:val="003C63AB"/>
    <w:rsid w:val="003C774D"/>
    <w:rsid w:val="003C7B73"/>
    <w:rsid w:val="003D0876"/>
    <w:rsid w:val="003D171F"/>
    <w:rsid w:val="003D1FE0"/>
    <w:rsid w:val="003D2037"/>
    <w:rsid w:val="003D2BCE"/>
    <w:rsid w:val="003D3806"/>
    <w:rsid w:val="003D4E1B"/>
    <w:rsid w:val="003D5CDE"/>
    <w:rsid w:val="003D614B"/>
    <w:rsid w:val="003D78CC"/>
    <w:rsid w:val="003E067E"/>
    <w:rsid w:val="003E0B27"/>
    <w:rsid w:val="003E0E23"/>
    <w:rsid w:val="003E0E98"/>
    <w:rsid w:val="003E20F3"/>
    <w:rsid w:val="003E345E"/>
    <w:rsid w:val="003E55E9"/>
    <w:rsid w:val="003E6AF1"/>
    <w:rsid w:val="003F0C92"/>
    <w:rsid w:val="003F1472"/>
    <w:rsid w:val="003F14CF"/>
    <w:rsid w:val="003F31F8"/>
    <w:rsid w:val="003F37C4"/>
    <w:rsid w:val="003F7666"/>
    <w:rsid w:val="004006C8"/>
    <w:rsid w:val="00400D48"/>
    <w:rsid w:val="004011C4"/>
    <w:rsid w:val="00402CD3"/>
    <w:rsid w:val="00403995"/>
    <w:rsid w:val="00403F6C"/>
    <w:rsid w:val="00405510"/>
    <w:rsid w:val="00405C20"/>
    <w:rsid w:val="00406B82"/>
    <w:rsid w:val="004117CC"/>
    <w:rsid w:val="004117E7"/>
    <w:rsid w:val="00411E05"/>
    <w:rsid w:val="00412C4F"/>
    <w:rsid w:val="00414A6F"/>
    <w:rsid w:val="00415108"/>
    <w:rsid w:val="004153AD"/>
    <w:rsid w:val="00415B77"/>
    <w:rsid w:val="00415BBB"/>
    <w:rsid w:val="00420BB4"/>
    <w:rsid w:val="00422AD9"/>
    <w:rsid w:val="004240C9"/>
    <w:rsid w:val="00424307"/>
    <w:rsid w:val="00424FD8"/>
    <w:rsid w:val="00425143"/>
    <w:rsid w:val="0042667C"/>
    <w:rsid w:val="00426A2B"/>
    <w:rsid w:val="00427025"/>
    <w:rsid w:val="00427CBE"/>
    <w:rsid w:val="004304C3"/>
    <w:rsid w:val="00430B04"/>
    <w:rsid w:val="00430BF2"/>
    <w:rsid w:val="00430D3E"/>
    <w:rsid w:val="004311A5"/>
    <w:rsid w:val="00432CA3"/>
    <w:rsid w:val="00435821"/>
    <w:rsid w:val="00436D28"/>
    <w:rsid w:val="00437149"/>
    <w:rsid w:val="0043796F"/>
    <w:rsid w:val="00437CB4"/>
    <w:rsid w:val="00441F33"/>
    <w:rsid w:val="00443606"/>
    <w:rsid w:val="00444154"/>
    <w:rsid w:val="00444341"/>
    <w:rsid w:val="00444363"/>
    <w:rsid w:val="00445F24"/>
    <w:rsid w:val="004462B8"/>
    <w:rsid w:val="004510D1"/>
    <w:rsid w:val="0045195E"/>
    <w:rsid w:val="00451C06"/>
    <w:rsid w:val="00453149"/>
    <w:rsid w:val="0045458D"/>
    <w:rsid w:val="004555D8"/>
    <w:rsid w:val="00457FB7"/>
    <w:rsid w:val="00460214"/>
    <w:rsid w:val="00460FCC"/>
    <w:rsid w:val="00461213"/>
    <w:rsid w:val="00463A64"/>
    <w:rsid w:val="00465B26"/>
    <w:rsid w:val="004674D6"/>
    <w:rsid w:val="00470F65"/>
    <w:rsid w:val="0047109B"/>
    <w:rsid w:val="004710E0"/>
    <w:rsid w:val="00471A3D"/>
    <w:rsid w:val="00471CE2"/>
    <w:rsid w:val="0047685E"/>
    <w:rsid w:val="004778F3"/>
    <w:rsid w:val="00477CB7"/>
    <w:rsid w:val="00477E04"/>
    <w:rsid w:val="00481274"/>
    <w:rsid w:val="00481B1D"/>
    <w:rsid w:val="00481DA8"/>
    <w:rsid w:val="0048226E"/>
    <w:rsid w:val="0048326C"/>
    <w:rsid w:val="00483AA2"/>
    <w:rsid w:val="00484875"/>
    <w:rsid w:val="00484A2A"/>
    <w:rsid w:val="00485E1A"/>
    <w:rsid w:val="0048615C"/>
    <w:rsid w:val="00487480"/>
    <w:rsid w:val="0049034F"/>
    <w:rsid w:val="00490926"/>
    <w:rsid w:val="00490E6F"/>
    <w:rsid w:val="0049102B"/>
    <w:rsid w:val="00491836"/>
    <w:rsid w:val="004922AD"/>
    <w:rsid w:val="004962DD"/>
    <w:rsid w:val="004963D7"/>
    <w:rsid w:val="00496F82"/>
    <w:rsid w:val="004970D8"/>
    <w:rsid w:val="00497B56"/>
    <w:rsid w:val="004A0DEF"/>
    <w:rsid w:val="004A1F30"/>
    <w:rsid w:val="004A2209"/>
    <w:rsid w:val="004A324A"/>
    <w:rsid w:val="004A3688"/>
    <w:rsid w:val="004A3CCE"/>
    <w:rsid w:val="004A484D"/>
    <w:rsid w:val="004A619F"/>
    <w:rsid w:val="004A67D8"/>
    <w:rsid w:val="004A6D16"/>
    <w:rsid w:val="004A7A2E"/>
    <w:rsid w:val="004B04C5"/>
    <w:rsid w:val="004B0624"/>
    <w:rsid w:val="004B2C5B"/>
    <w:rsid w:val="004B374B"/>
    <w:rsid w:val="004B4ADA"/>
    <w:rsid w:val="004B6156"/>
    <w:rsid w:val="004C04B0"/>
    <w:rsid w:val="004C06C9"/>
    <w:rsid w:val="004C0E51"/>
    <w:rsid w:val="004C2809"/>
    <w:rsid w:val="004C40D3"/>
    <w:rsid w:val="004C45C6"/>
    <w:rsid w:val="004C4E3C"/>
    <w:rsid w:val="004C6CBB"/>
    <w:rsid w:val="004C70F7"/>
    <w:rsid w:val="004C77A1"/>
    <w:rsid w:val="004C7B04"/>
    <w:rsid w:val="004C7D81"/>
    <w:rsid w:val="004C7FEE"/>
    <w:rsid w:val="004D0599"/>
    <w:rsid w:val="004D2C3B"/>
    <w:rsid w:val="004D4A0B"/>
    <w:rsid w:val="004D4DD0"/>
    <w:rsid w:val="004E129C"/>
    <w:rsid w:val="004E174D"/>
    <w:rsid w:val="004E2F4B"/>
    <w:rsid w:val="004E3892"/>
    <w:rsid w:val="004E45F2"/>
    <w:rsid w:val="004E6557"/>
    <w:rsid w:val="004E7D8C"/>
    <w:rsid w:val="004E7DB8"/>
    <w:rsid w:val="004F0CB1"/>
    <w:rsid w:val="004F1947"/>
    <w:rsid w:val="004F2AB2"/>
    <w:rsid w:val="004F2BDD"/>
    <w:rsid w:val="004F2BEA"/>
    <w:rsid w:val="004F3F4C"/>
    <w:rsid w:val="004F4EF2"/>
    <w:rsid w:val="004F4F9E"/>
    <w:rsid w:val="004F57DA"/>
    <w:rsid w:val="004F617E"/>
    <w:rsid w:val="004F7212"/>
    <w:rsid w:val="00501FD6"/>
    <w:rsid w:val="00502DA0"/>
    <w:rsid w:val="00503E97"/>
    <w:rsid w:val="00504847"/>
    <w:rsid w:val="00504CBB"/>
    <w:rsid w:val="00504EED"/>
    <w:rsid w:val="00505C45"/>
    <w:rsid w:val="0051074A"/>
    <w:rsid w:val="005116CD"/>
    <w:rsid w:val="00511F27"/>
    <w:rsid w:val="005134E3"/>
    <w:rsid w:val="00513F07"/>
    <w:rsid w:val="00514DC6"/>
    <w:rsid w:val="0051510A"/>
    <w:rsid w:val="00515547"/>
    <w:rsid w:val="00520157"/>
    <w:rsid w:val="0052280F"/>
    <w:rsid w:val="005234D5"/>
    <w:rsid w:val="0052386C"/>
    <w:rsid w:val="00524E14"/>
    <w:rsid w:val="00525AAB"/>
    <w:rsid w:val="0052769E"/>
    <w:rsid w:val="00530421"/>
    <w:rsid w:val="00531CEA"/>
    <w:rsid w:val="005326EF"/>
    <w:rsid w:val="005329A7"/>
    <w:rsid w:val="0053353E"/>
    <w:rsid w:val="00536033"/>
    <w:rsid w:val="005370A9"/>
    <w:rsid w:val="00540048"/>
    <w:rsid w:val="00540E6C"/>
    <w:rsid w:val="00541AA4"/>
    <w:rsid w:val="00541CB4"/>
    <w:rsid w:val="00541EE0"/>
    <w:rsid w:val="00543B6B"/>
    <w:rsid w:val="00546BCE"/>
    <w:rsid w:val="0054701C"/>
    <w:rsid w:val="00547CBB"/>
    <w:rsid w:val="00550D06"/>
    <w:rsid w:val="00551096"/>
    <w:rsid w:val="005513DA"/>
    <w:rsid w:val="00551B2D"/>
    <w:rsid w:val="00555DEB"/>
    <w:rsid w:val="00556889"/>
    <w:rsid w:val="005570B9"/>
    <w:rsid w:val="00560276"/>
    <w:rsid w:val="00561CE1"/>
    <w:rsid w:val="005627A9"/>
    <w:rsid w:val="005642FB"/>
    <w:rsid w:val="005654A6"/>
    <w:rsid w:val="0056665E"/>
    <w:rsid w:val="005701F9"/>
    <w:rsid w:val="0057075A"/>
    <w:rsid w:val="00574C99"/>
    <w:rsid w:val="00575C56"/>
    <w:rsid w:val="00577A4D"/>
    <w:rsid w:val="0058348E"/>
    <w:rsid w:val="00583FF6"/>
    <w:rsid w:val="00584CAE"/>
    <w:rsid w:val="00584DB3"/>
    <w:rsid w:val="005902D9"/>
    <w:rsid w:val="00590948"/>
    <w:rsid w:val="00593B62"/>
    <w:rsid w:val="00594FB0"/>
    <w:rsid w:val="005956C5"/>
    <w:rsid w:val="0059619D"/>
    <w:rsid w:val="00597A83"/>
    <w:rsid w:val="00597C27"/>
    <w:rsid w:val="005A0B97"/>
    <w:rsid w:val="005A17C9"/>
    <w:rsid w:val="005A76C7"/>
    <w:rsid w:val="005B0C82"/>
    <w:rsid w:val="005B23DD"/>
    <w:rsid w:val="005B2D12"/>
    <w:rsid w:val="005B36AD"/>
    <w:rsid w:val="005B387C"/>
    <w:rsid w:val="005B3D6D"/>
    <w:rsid w:val="005B3FEA"/>
    <w:rsid w:val="005B4020"/>
    <w:rsid w:val="005B7553"/>
    <w:rsid w:val="005B7B08"/>
    <w:rsid w:val="005C0D2C"/>
    <w:rsid w:val="005C0FF1"/>
    <w:rsid w:val="005C155D"/>
    <w:rsid w:val="005C1591"/>
    <w:rsid w:val="005C284D"/>
    <w:rsid w:val="005C28D7"/>
    <w:rsid w:val="005C2CE7"/>
    <w:rsid w:val="005C3212"/>
    <w:rsid w:val="005C5169"/>
    <w:rsid w:val="005D2AF6"/>
    <w:rsid w:val="005D32C4"/>
    <w:rsid w:val="005D3CE0"/>
    <w:rsid w:val="005D409B"/>
    <w:rsid w:val="005D4EFF"/>
    <w:rsid w:val="005E08DD"/>
    <w:rsid w:val="005E0F07"/>
    <w:rsid w:val="005E0FF5"/>
    <w:rsid w:val="005E10B3"/>
    <w:rsid w:val="005E14FD"/>
    <w:rsid w:val="005E2236"/>
    <w:rsid w:val="005E4332"/>
    <w:rsid w:val="005E4F24"/>
    <w:rsid w:val="005E50B2"/>
    <w:rsid w:val="005E537C"/>
    <w:rsid w:val="005E6994"/>
    <w:rsid w:val="005E76AD"/>
    <w:rsid w:val="005E7965"/>
    <w:rsid w:val="005F03A1"/>
    <w:rsid w:val="005F1A7C"/>
    <w:rsid w:val="005F37BD"/>
    <w:rsid w:val="005F398B"/>
    <w:rsid w:val="005F3F3E"/>
    <w:rsid w:val="005F4BB8"/>
    <w:rsid w:val="005F6D94"/>
    <w:rsid w:val="005F753F"/>
    <w:rsid w:val="006015D3"/>
    <w:rsid w:val="00603664"/>
    <w:rsid w:val="0060384D"/>
    <w:rsid w:val="00603FBF"/>
    <w:rsid w:val="00605271"/>
    <w:rsid w:val="00605D2A"/>
    <w:rsid w:val="00606906"/>
    <w:rsid w:val="00606B62"/>
    <w:rsid w:val="006076D7"/>
    <w:rsid w:val="00607EEC"/>
    <w:rsid w:val="00610440"/>
    <w:rsid w:val="006104CF"/>
    <w:rsid w:val="006109F9"/>
    <w:rsid w:val="00610B63"/>
    <w:rsid w:val="00611645"/>
    <w:rsid w:val="006125DC"/>
    <w:rsid w:val="0061265F"/>
    <w:rsid w:val="00612BD1"/>
    <w:rsid w:val="00612D94"/>
    <w:rsid w:val="00613CF9"/>
    <w:rsid w:val="0061400D"/>
    <w:rsid w:val="0061455C"/>
    <w:rsid w:val="006160C2"/>
    <w:rsid w:val="0061785E"/>
    <w:rsid w:val="00617EC6"/>
    <w:rsid w:val="00617FAF"/>
    <w:rsid w:val="00620FB1"/>
    <w:rsid w:val="006227AD"/>
    <w:rsid w:val="00622A05"/>
    <w:rsid w:val="0062569B"/>
    <w:rsid w:val="0063161C"/>
    <w:rsid w:val="00632D86"/>
    <w:rsid w:val="00633C68"/>
    <w:rsid w:val="00633FB3"/>
    <w:rsid w:val="00634E2B"/>
    <w:rsid w:val="00635A89"/>
    <w:rsid w:val="00635BE2"/>
    <w:rsid w:val="00635F70"/>
    <w:rsid w:val="00636464"/>
    <w:rsid w:val="00637159"/>
    <w:rsid w:val="00637671"/>
    <w:rsid w:val="00641C3A"/>
    <w:rsid w:val="00641FDA"/>
    <w:rsid w:val="00643516"/>
    <w:rsid w:val="006461EE"/>
    <w:rsid w:val="00646E97"/>
    <w:rsid w:val="0064729E"/>
    <w:rsid w:val="006501C4"/>
    <w:rsid w:val="00651882"/>
    <w:rsid w:val="00652CD5"/>
    <w:rsid w:val="0066098D"/>
    <w:rsid w:val="00660F43"/>
    <w:rsid w:val="006614D6"/>
    <w:rsid w:val="00661534"/>
    <w:rsid w:val="00661FB2"/>
    <w:rsid w:val="006639A1"/>
    <w:rsid w:val="00664D43"/>
    <w:rsid w:val="006663AC"/>
    <w:rsid w:val="006671D8"/>
    <w:rsid w:val="006703FE"/>
    <w:rsid w:val="00672D5C"/>
    <w:rsid w:val="00674E3C"/>
    <w:rsid w:val="006764AE"/>
    <w:rsid w:val="00676780"/>
    <w:rsid w:val="00676D9E"/>
    <w:rsid w:val="00677A1B"/>
    <w:rsid w:val="00681308"/>
    <w:rsid w:val="00681E8D"/>
    <w:rsid w:val="006825B2"/>
    <w:rsid w:val="006826F8"/>
    <w:rsid w:val="00682794"/>
    <w:rsid w:val="00683B13"/>
    <w:rsid w:val="00683BB1"/>
    <w:rsid w:val="006845B9"/>
    <w:rsid w:val="006850FB"/>
    <w:rsid w:val="00686B28"/>
    <w:rsid w:val="00687B7E"/>
    <w:rsid w:val="00690828"/>
    <w:rsid w:val="00692355"/>
    <w:rsid w:val="00693CAE"/>
    <w:rsid w:val="00696BA3"/>
    <w:rsid w:val="00696F54"/>
    <w:rsid w:val="0069773A"/>
    <w:rsid w:val="00697B0D"/>
    <w:rsid w:val="00697FEE"/>
    <w:rsid w:val="006A5D63"/>
    <w:rsid w:val="006A69EB"/>
    <w:rsid w:val="006B1000"/>
    <w:rsid w:val="006B1470"/>
    <w:rsid w:val="006B1699"/>
    <w:rsid w:val="006B2645"/>
    <w:rsid w:val="006B2A82"/>
    <w:rsid w:val="006B3F0F"/>
    <w:rsid w:val="006B5410"/>
    <w:rsid w:val="006B6316"/>
    <w:rsid w:val="006B6331"/>
    <w:rsid w:val="006B6B64"/>
    <w:rsid w:val="006B74CD"/>
    <w:rsid w:val="006C0821"/>
    <w:rsid w:val="006C0D28"/>
    <w:rsid w:val="006C1013"/>
    <w:rsid w:val="006C1FC3"/>
    <w:rsid w:val="006C2CC5"/>
    <w:rsid w:val="006C4E19"/>
    <w:rsid w:val="006C54F6"/>
    <w:rsid w:val="006C6FF6"/>
    <w:rsid w:val="006C783C"/>
    <w:rsid w:val="006D03FB"/>
    <w:rsid w:val="006D04B4"/>
    <w:rsid w:val="006D04F2"/>
    <w:rsid w:val="006D05D5"/>
    <w:rsid w:val="006D0F59"/>
    <w:rsid w:val="006D357F"/>
    <w:rsid w:val="006D4B27"/>
    <w:rsid w:val="006D4D7C"/>
    <w:rsid w:val="006D5607"/>
    <w:rsid w:val="006D68C8"/>
    <w:rsid w:val="006D6AE9"/>
    <w:rsid w:val="006D7605"/>
    <w:rsid w:val="006D7B6C"/>
    <w:rsid w:val="006D7EB8"/>
    <w:rsid w:val="006E27DF"/>
    <w:rsid w:val="006E2D7D"/>
    <w:rsid w:val="006E2EC6"/>
    <w:rsid w:val="006E5763"/>
    <w:rsid w:val="006E6221"/>
    <w:rsid w:val="006E6832"/>
    <w:rsid w:val="006E6F00"/>
    <w:rsid w:val="006F0C24"/>
    <w:rsid w:val="006F141D"/>
    <w:rsid w:val="006F3608"/>
    <w:rsid w:val="006F363D"/>
    <w:rsid w:val="006F4897"/>
    <w:rsid w:val="006F4B56"/>
    <w:rsid w:val="006F4CBC"/>
    <w:rsid w:val="006F55ED"/>
    <w:rsid w:val="006F5FAC"/>
    <w:rsid w:val="006F74C3"/>
    <w:rsid w:val="006F7C3E"/>
    <w:rsid w:val="00701AAD"/>
    <w:rsid w:val="00702398"/>
    <w:rsid w:val="007036AC"/>
    <w:rsid w:val="00703EFF"/>
    <w:rsid w:val="00705355"/>
    <w:rsid w:val="0070615E"/>
    <w:rsid w:val="0070756F"/>
    <w:rsid w:val="00713BC1"/>
    <w:rsid w:val="00714679"/>
    <w:rsid w:val="00715EDD"/>
    <w:rsid w:val="0072002E"/>
    <w:rsid w:val="0072098D"/>
    <w:rsid w:val="00720B22"/>
    <w:rsid w:val="00721565"/>
    <w:rsid w:val="00722039"/>
    <w:rsid w:val="0072228C"/>
    <w:rsid w:val="00724688"/>
    <w:rsid w:val="0072578B"/>
    <w:rsid w:val="00726086"/>
    <w:rsid w:val="0072649E"/>
    <w:rsid w:val="00730D09"/>
    <w:rsid w:val="00731605"/>
    <w:rsid w:val="00731D8A"/>
    <w:rsid w:val="00731ED7"/>
    <w:rsid w:val="00732248"/>
    <w:rsid w:val="00732984"/>
    <w:rsid w:val="00732BA0"/>
    <w:rsid w:val="00740312"/>
    <w:rsid w:val="00740EB3"/>
    <w:rsid w:val="00741FAF"/>
    <w:rsid w:val="00742675"/>
    <w:rsid w:val="007427E5"/>
    <w:rsid w:val="00742A0E"/>
    <w:rsid w:val="00742E07"/>
    <w:rsid w:val="007501B0"/>
    <w:rsid w:val="007528BB"/>
    <w:rsid w:val="00752BB6"/>
    <w:rsid w:val="00752BFD"/>
    <w:rsid w:val="00753236"/>
    <w:rsid w:val="00755A76"/>
    <w:rsid w:val="007560E8"/>
    <w:rsid w:val="00756466"/>
    <w:rsid w:val="00756BA2"/>
    <w:rsid w:val="00760090"/>
    <w:rsid w:val="00760A20"/>
    <w:rsid w:val="00760D7F"/>
    <w:rsid w:val="00761486"/>
    <w:rsid w:val="007634C4"/>
    <w:rsid w:val="00764234"/>
    <w:rsid w:val="00766B0A"/>
    <w:rsid w:val="00766C48"/>
    <w:rsid w:val="0076784B"/>
    <w:rsid w:val="00770A91"/>
    <w:rsid w:val="007729A6"/>
    <w:rsid w:val="00772DCC"/>
    <w:rsid w:val="00773A32"/>
    <w:rsid w:val="0077586F"/>
    <w:rsid w:val="007765CB"/>
    <w:rsid w:val="00776FF2"/>
    <w:rsid w:val="0077767A"/>
    <w:rsid w:val="00781595"/>
    <w:rsid w:val="007817D2"/>
    <w:rsid w:val="0078327A"/>
    <w:rsid w:val="00783CFE"/>
    <w:rsid w:val="0079157C"/>
    <w:rsid w:val="007936C9"/>
    <w:rsid w:val="00793FF8"/>
    <w:rsid w:val="0079422F"/>
    <w:rsid w:val="00796275"/>
    <w:rsid w:val="00797A20"/>
    <w:rsid w:val="00797FF2"/>
    <w:rsid w:val="007A2170"/>
    <w:rsid w:val="007A255F"/>
    <w:rsid w:val="007A2AB2"/>
    <w:rsid w:val="007A3509"/>
    <w:rsid w:val="007A397A"/>
    <w:rsid w:val="007A3FEB"/>
    <w:rsid w:val="007A4336"/>
    <w:rsid w:val="007A4AEA"/>
    <w:rsid w:val="007A4C83"/>
    <w:rsid w:val="007A55F8"/>
    <w:rsid w:val="007A5DE9"/>
    <w:rsid w:val="007A6FA6"/>
    <w:rsid w:val="007A7016"/>
    <w:rsid w:val="007A71F6"/>
    <w:rsid w:val="007B09E6"/>
    <w:rsid w:val="007B1686"/>
    <w:rsid w:val="007B1F48"/>
    <w:rsid w:val="007B2D34"/>
    <w:rsid w:val="007B410B"/>
    <w:rsid w:val="007B450E"/>
    <w:rsid w:val="007B568F"/>
    <w:rsid w:val="007B5BAD"/>
    <w:rsid w:val="007C1E8E"/>
    <w:rsid w:val="007C3A5C"/>
    <w:rsid w:val="007C4877"/>
    <w:rsid w:val="007C5C0D"/>
    <w:rsid w:val="007C5C3D"/>
    <w:rsid w:val="007C6273"/>
    <w:rsid w:val="007C7500"/>
    <w:rsid w:val="007D0151"/>
    <w:rsid w:val="007D05D0"/>
    <w:rsid w:val="007D0D38"/>
    <w:rsid w:val="007D308B"/>
    <w:rsid w:val="007D34A5"/>
    <w:rsid w:val="007D37BC"/>
    <w:rsid w:val="007D5173"/>
    <w:rsid w:val="007D78F9"/>
    <w:rsid w:val="007E13C8"/>
    <w:rsid w:val="007E1681"/>
    <w:rsid w:val="007E20A3"/>
    <w:rsid w:val="007E250D"/>
    <w:rsid w:val="007E28D4"/>
    <w:rsid w:val="007E44FC"/>
    <w:rsid w:val="007E4CFB"/>
    <w:rsid w:val="007E5190"/>
    <w:rsid w:val="007E5281"/>
    <w:rsid w:val="007E5C63"/>
    <w:rsid w:val="007E628D"/>
    <w:rsid w:val="007E7252"/>
    <w:rsid w:val="007E7744"/>
    <w:rsid w:val="007E77C7"/>
    <w:rsid w:val="007F1060"/>
    <w:rsid w:val="007F1B80"/>
    <w:rsid w:val="007F1CE3"/>
    <w:rsid w:val="007F2BE0"/>
    <w:rsid w:val="007F3C66"/>
    <w:rsid w:val="007F3F70"/>
    <w:rsid w:val="007F5F17"/>
    <w:rsid w:val="00802C19"/>
    <w:rsid w:val="00803575"/>
    <w:rsid w:val="00804DF6"/>
    <w:rsid w:val="00805601"/>
    <w:rsid w:val="00805C85"/>
    <w:rsid w:val="0080746A"/>
    <w:rsid w:val="00811927"/>
    <w:rsid w:val="0081196E"/>
    <w:rsid w:val="008130B4"/>
    <w:rsid w:val="00814BD5"/>
    <w:rsid w:val="00816699"/>
    <w:rsid w:val="008201D1"/>
    <w:rsid w:val="0082085A"/>
    <w:rsid w:val="00821AAE"/>
    <w:rsid w:val="008224FA"/>
    <w:rsid w:val="00823BCC"/>
    <w:rsid w:val="00823E32"/>
    <w:rsid w:val="008240D7"/>
    <w:rsid w:val="008243A8"/>
    <w:rsid w:val="008247A1"/>
    <w:rsid w:val="00826165"/>
    <w:rsid w:val="008276FD"/>
    <w:rsid w:val="008300E2"/>
    <w:rsid w:val="00830CB4"/>
    <w:rsid w:val="00831232"/>
    <w:rsid w:val="008319E5"/>
    <w:rsid w:val="00831D43"/>
    <w:rsid w:val="008322D5"/>
    <w:rsid w:val="00832567"/>
    <w:rsid w:val="008333DC"/>
    <w:rsid w:val="0083376D"/>
    <w:rsid w:val="00833F2F"/>
    <w:rsid w:val="0083592B"/>
    <w:rsid w:val="00836319"/>
    <w:rsid w:val="00836DC9"/>
    <w:rsid w:val="00837EBC"/>
    <w:rsid w:val="00840BA7"/>
    <w:rsid w:val="00840F52"/>
    <w:rsid w:val="00840FB8"/>
    <w:rsid w:val="00845979"/>
    <w:rsid w:val="00846B9C"/>
    <w:rsid w:val="00847498"/>
    <w:rsid w:val="008474E6"/>
    <w:rsid w:val="00847D36"/>
    <w:rsid w:val="00847F6C"/>
    <w:rsid w:val="0085051C"/>
    <w:rsid w:val="00851DDD"/>
    <w:rsid w:val="00853093"/>
    <w:rsid w:val="00854EEE"/>
    <w:rsid w:val="008551AE"/>
    <w:rsid w:val="00855685"/>
    <w:rsid w:val="0085569F"/>
    <w:rsid w:val="008558ED"/>
    <w:rsid w:val="0085616C"/>
    <w:rsid w:val="008563F9"/>
    <w:rsid w:val="00856BDE"/>
    <w:rsid w:val="0086014A"/>
    <w:rsid w:val="00861A50"/>
    <w:rsid w:val="00862A7B"/>
    <w:rsid w:val="00864081"/>
    <w:rsid w:val="00864227"/>
    <w:rsid w:val="008676FB"/>
    <w:rsid w:val="00867F7D"/>
    <w:rsid w:val="008707A9"/>
    <w:rsid w:val="008712FF"/>
    <w:rsid w:val="0087224C"/>
    <w:rsid w:val="008723A9"/>
    <w:rsid w:val="0087291F"/>
    <w:rsid w:val="0087628B"/>
    <w:rsid w:val="00876C58"/>
    <w:rsid w:val="00880359"/>
    <w:rsid w:val="00881110"/>
    <w:rsid w:val="00881439"/>
    <w:rsid w:val="00881D9D"/>
    <w:rsid w:val="00885821"/>
    <w:rsid w:val="008861A5"/>
    <w:rsid w:val="008906B3"/>
    <w:rsid w:val="0089101C"/>
    <w:rsid w:val="00891617"/>
    <w:rsid w:val="00891777"/>
    <w:rsid w:val="008918EA"/>
    <w:rsid w:val="00891F7A"/>
    <w:rsid w:val="008934BD"/>
    <w:rsid w:val="00893B8D"/>
    <w:rsid w:val="008951BF"/>
    <w:rsid w:val="00895508"/>
    <w:rsid w:val="00897F46"/>
    <w:rsid w:val="008A0210"/>
    <w:rsid w:val="008A02B8"/>
    <w:rsid w:val="008A2148"/>
    <w:rsid w:val="008A3E94"/>
    <w:rsid w:val="008A652D"/>
    <w:rsid w:val="008A7015"/>
    <w:rsid w:val="008B10E4"/>
    <w:rsid w:val="008B1168"/>
    <w:rsid w:val="008B17C0"/>
    <w:rsid w:val="008B3C27"/>
    <w:rsid w:val="008B4843"/>
    <w:rsid w:val="008B58CA"/>
    <w:rsid w:val="008B6AE5"/>
    <w:rsid w:val="008C06CD"/>
    <w:rsid w:val="008C1052"/>
    <w:rsid w:val="008C168F"/>
    <w:rsid w:val="008C2F0C"/>
    <w:rsid w:val="008C42A3"/>
    <w:rsid w:val="008C6C5A"/>
    <w:rsid w:val="008C6E81"/>
    <w:rsid w:val="008C723E"/>
    <w:rsid w:val="008C7EDD"/>
    <w:rsid w:val="008D06BA"/>
    <w:rsid w:val="008D179D"/>
    <w:rsid w:val="008D2257"/>
    <w:rsid w:val="008D3556"/>
    <w:rsid w:val="008D4A1D"/>
    <w:rsid w:val="008D5199"/>
    <w:rsid w:val="008D53F8"/>
    <w:rsid w:val="008D74B2"/>
    <w:rsid w:val="008E000D"/>
    <w:rsid w:val="008E0D04"/>
    <w:rsid w:val="008E13C8"/>
    <w:rsid w:val="008E1EB4"/>
    <w:rsid w:val="008E28C0"/>
    <w:rsid w:val="008E2A31"/>
    <w:rsid w:val="008E3BD6"/>
    <w:rsid w:val="008E5ED7"/>
    <w:rsid w:val="008E63BA"/>
    <w:rsid w:val="008F09AB"/>
    <w:rsid w:val="008F168A"/>
    <w:rsid w:val="008F1BB6"/>
    <w:rsid w:val="008F2373"/>
    <w:rsid w:val="008F3912"/>
    <w:rsid w:val="008F3BB2"/>
    <w:rsid w:val="008F5699"/>
    <w:rsid w:val="008F588C"/>
    <w:rsid w:val="008F59BF"/>
    <w:rsid w:val="008F5E6E"/>
    <w:rsid w:val="008F60EC"/>
    <w:rsid w:val="008F62DB"/>
    <w:rsid w:val="008F6F1D"/>
    <w:rsid w:val="008F7638"/>
    <w:rsid w:val="00900591"/>
    <w:rsid w:val="00902183"/>
    <w:rsid w:val="0090223D"/>
    <w:rsid w:val="009024E5"/>
    <w:rsid w:val="00902FF9"/>
    <w:rsid w:val="0090376C"/>
    <w:rsid w:val="009048FD"/>
    <w:rsid w:val="009053F2"/>
    <w:rsid w:val="00907118"/>
    <w:rsid w:val="00907B3D"/>
    <w:rsid w:val="00907D1C"/>
    <w:rsid w:val="00911654"/>
    <w:rsid w:val="0091184E"/>
    <w:rsid w:val="00911EAB"/>
    <w:rsid w:val="00911EF6"/>
    <w:rsid w:val="009128D4"/>
    <w:rsid w:val="00913253"/>
    <w:rsid w:val="00915183"/>
    <w:rsid w:val="009157E2"/>
    <w:rsid w:val="00915E51"/>
    <w:rsid w:val="00916888"/>
    <w:rsid w:val="00916C81"/>
    <w:rsid w:val="009173E6"/>
    <w:rsid w:val="00917B3A"/>
    <w:rsid w:val="00917B9B"/>
    <w:rsid w:val="00917E88"/>
    <w:rsid w:val="0092200B"/>
    <w:rsid w:val="0092354F"/>
    <w:rsid w:val="009244F4"/>
    <w:rsid w:val="00924B68"/>
    <w:rsid w:val="0092563A"/>
    <w:rsid w:val="0092740B"/>
    <w:rsid w:val="009279E5"/>
    <w:rsid w:val="00927DC2"/>
    <w:rsid w:val="00932679"/>
    <w:rsid w:val="00932B66"/>
    <w:rsid w:val="00932D0E"/>
    <w:rsid w:val="00935C31"/>
    <w:rsid w:val="00940F9F"/>
    <w:rsid w:val="00941463"/>
    <w:rsid w:val="0094392A"/>
    <w:rsid w:val="00943962"/>
    <w:rsid w:val="00943F03"/>
    <w:rsid w:val="00944966"/>
    <w:rsid w:val="00946C1F"/>
    <w:rsid w:val="00946CD3"/>
    <w:rsid w:val="009504AA"/>
    <w:rsid w:val="00951F9C"/>
    <w:rsid w:val="00953296"/>
    <w:rsid w:val="00954F20"/>
    <w:rsid w:val="009550EE"/>
    <w:rsid w:val="00955387"/>
    <w:rsid w:val="00960835"/>
    <w:rsid w:val="00963497"/>
    <w:rsid w:val="00963D82"/>
    <w:rsid w:val="009654CC"/>
    <w:rsid w:val="0096559C"/>
    <w:rsid w:val="00967589"/>
    <w:rsid w:val="00971DC0"/>
    <w:rsid w:val="00972004"/>
    <w:rsid w:val="00972510"/>
    <w:rsid w:val="00974A8C"/>
    <w:rsid w:val="00976EBE"/>
    <w:rsid w:val="00977FD0"/>
    <w:rsid w:val="009805C0"/>
    <w:rsid w:val="00981043"/>
    <w:rsid w:val="00981A5B"/>
    <w:rsid w:val="00981E7B"/>
    <w:rsid w:val="00982B3B"/>
    <w:rsid w:val="00984E46"/>
    <w:rsid w:val="00984E6A"/>
    <w:rsid w:val="00984FBA"/>
    <w:rsid w:val="00985E9C"/>
    <w:rsid w:val="00985F69"/>
    <w:rsid w:val="0098641C"/>
    <w:rsid w:val="009864DD"/>
    <w:rsid w:val="009871F3"/>
    <w:rsid w:val="00987CE8"/>
    <w:rsid w:val="00987E14"/>
    <w:rsid w:val="00990C50"/>
    <w:rsid w:val="00993897"/>
    <w:rsid w:val="00993A81"/>
    <w:rsid w:val="00995394"/>
    <w:rsid w:val="00995588"/>
    <w:rsid w:val="00996819"/>
    <w:rsid w:val="00997002"/>
    <w:rsid w:val="009977EC"/>
    <w:rsid w:val="0099799F"/>
    <w:rsid w:val="009A3312"/>
    <w:rsid w:val="009A4095"/>
    <w:rsid w:val="009A5063"/>
    <w:rsid w:val="009A5277"/>
    <w:rsid w:val="009A5B90"/>
    <w:rsid w:val="009B030A"/>
    <w:rsid w:val="009B06B9"/>
    <w:rsid w:val="009B0A63"/>
    <w:rsid w:val="009B1E37"/>
    <w:rsid w:val="009B3014"/>
    <w:rsid w:val="009B4561"/>
    <w:rsid w:val="009B4B23"/>
    <w:rsid w:val="009B5682"/>
    <w:rsid w:val="009B5A52"/>
    <w:rsid w:val="009B7800"/>
    <w:rsid w:val="009B7A45"/>
    <w:rsid w:val="009B7D11"/>
    <w:rsid w:val="009B7D75"/>
    <w:rsid w:val="009C05A0"/>
    <w:rsid w:val="009C075D"/>
    <w:rsid w:val="009C11AA"/>
    <w:rsid w:val="009C200E"/>
    <w:rsid w:val="009C2442"/>
    <w:rsid w:val="009C2989"/>
    <w:rsid w:val="009C298B"/>
    <w:rsid w:val="009C2AA2"/>
    <w:rsid w:val="009C32A2"/>
    <w:rsid w:val="009C49D9"/>
    <w:rsid w:val="009C53FF"/>
    <w:rsid w:val="009C6919"/>
    <w:rsid w:val="009D0559"/>
    <w:rsid w:val="009D1016"/>
    <w:rsid w:val="009D112E"/>
    <w:rsid w:val="009D1C93"/>
    <w:rsid w:val="009D40FE"/>
    <w:rsid w:val="009D464A"/>
    <w:rsid w:val="009D61A2"/>
    <w:rsid w:val="009D7BD3"/>
    <w:rsid w:val="009E05A3"/>
    <w:rsid w:val="009E107A"/>
    <w:rsid w:val="009E29A5"/>
    <w:rsid w:val="009E2AAA"/>
    <w:rsid w:val="009E31A3"/>
    <w:rsid w:val="009E5DA4"/>
    <w:rsid w:val="009E6056"/>
    <w:rsid w:val="009E60E0"/>
    <w:rsid w:val="009E6416"/>
    <w:rsid w:val="009E6C19"/>
    <w:rsid w:val="009E6D74"/>
    <w:rsid w:val="009E6FD6"/>
    <w:rsid w:val="009E73A4"/>
    <w:rsid w:val="009F0AB4"/>
    <w:rsid w:val="009F0CD7"/>
    <w:rsid w:val="009F2C20"/>
    <w:rsid w:val="009F325B"/>
    <w:rsid w:val="009F4724"/>
    <w:rsid w:val="009F5EDA"/>
    <w:rsid w:val="009F6A7D"/>
    <w:rsid w:val="009F7226"/>
    <w:rsid w:val="009F743E"/>
    <w:rsid w:val="009F78D1"/>
    <w:rsid w:val="00A00B80"/>
    <w:rsid w:val="00A00DFC"/>
    <w:rsid w:val="00A01D04"/>
    <w:rsid w:val="00A02910"/>
    <w:rsid w:val="00A030D8"/>
    <w:rsid w:val="00A03946"/>
    <w:rsid w:val="00A03E4C"/>
    <w:rsid w:val="00A05E86"/>
    <w:rsid w:val="00A061F4"/>
    <w:rsid w:val="00A118F1"/>
    <w:rsid w:val="00A11955"/>
    <w:rsid w:val="00A14A4F"/>
    <w:rsid w:val="00A14BF1"/>
    <w:rsid w:val="00A154B4"/>
    <w:rsid w:val="00A15E35"/>
    <w:rsid w:val="00A17724"/>
    <w:rsid w:val="00A20BD5"/>
    <w:rsid w:val="00A21474"/>
    <w:rsid w:val="00A215CF"/>
    <w:rsid w:val="00A24577"/>
    <w:rsid w:val="00A24C12"/>
    <w:rsid w:val="00A26610"/>
    <w:rsid w:val="00A311B6"/>
    <w:rsid w:val="00A33186"/>
    <w:rsid w:val="00A34625"/>
    <w:rsid w:val="00A37BEE"/>
    <w:rsid w:val="00A42101"/>
    <w:rsid w:val="00A449B6"/>
    <w:rsid w:val="00A44CA2"/>
    <w:rsid w:val="00A46698"/>
    <w:rsid w:val="00A51392"/>
    <w:rsid w:val="00A52CE7"/>
    <w:rsid w:val="00A530B8"/>
    <w:rsid w:val="00A536E7"/>
    <w:rsid w:val="00A5377A"/>
    <w:rsid w:val="00A538BA"/>
    <w:rsid w:val="00A53BC9"/>
    <w:rsid w:val="00A5429B"/>
    <w:rsid w:val="00A57BD0"/>
    <w:rsid w:val="00A60CE3"/>
    <w:rsid w:val="00A610B6"/>
    <w:rsid w:val="00A61545"/>
    <w:rsid w:val="00A615CA"/>
    <w:rsid w:val="00A61AF7"/>
    <w:rsid w:val="00A62AE1"/>
    <w:rsid w:val="00A634FE"/>
    <w:rsid w:val="00A63D76"/>
    <w:rsid w:val="00A64293"/>
    <w:rsid w:val="00A64B9F"/>
    <w:rsid w:val="00A65700"/>
    <w:rsid w:val="00A65F58"/>
    <w:rsid w:val="00A66736"/>
    <w:rsid w:val="00A674B2"/>
    <w:rsid w:val="00A71B0C"/>
    <w:rsid w:val="00A734B0"/>
    <w:rsid w:val="00A735DB"/>
    <w:rsid w:val="00A73E3C"/>
    <w:rsid w:val="00A73EF7"/>
    <w:rsid w:val="00A75108"/>
    <w:rsid w:val="00A756C9"/>
    <w:rsid w:val="00A76061"/>
    <w:rsid w:val="00A7630F"/>
    <w:rsid w:val="00A7732A"/>
    <w:rsid w:val="00A8110B"/>
    <w:rsid w:val="00A82F67"/>
    <w:rsid w:val="00A83F61"/>
    <w:rsid w:val="00A872DF"/>
    <w:rsid w:val="00A900C1"/>
    <w:rsid w:val="00A90BBC"/>
    <w:rsid w:val="00A91E88"/>
    <w:rsid w:val="00A92391"/>
    <w:rsid w:val="00A94225"/>
    <w:rsid w:val="00A950B4"/>
    <w:rsid w:val="00A9526C"/>
    <w:rsid w:val="00A953E6"/>
    <w:rsid w:val="00A958A2"/>
    <w:rsid w:val="00A95B1C"/>
    <w:rsid w:val="00A9688E"/>
    <w:rsid w:val="00A96A59"/>
    <w:rsid w:val="00A973F5"/>
    <w:rsid w:val="00A9744C"/>
    <w:rsid w:val="00A97BC0"/>
    <w:rsid w:val="00A97E6A"/>
    <w:rsid w:val="00AA00AC"/>
    <w:rsid w:val="00AA02B0"/>
    <w:rsid w:val="00AA120D"/>
    <w:rsid w:val="00AA1FFC"/>
    <w:rsid w:val="00AA2EDA"/>
    <w:rsid w:val="00AA45F3"/>
    <w:rsid w:val="00AA4601"/>
    <w:rsid w:val="00AA4E74"/>
    <w:rsid w:val="00AA4E76"/>
    <w:rsid w:val="00AA7E16"/>
    <w:rsid w:val="00AB2573"/>
    <w:rsid w:val="00AB2A95"/>
    <w:rsid w:val="00AB2E46"/>
    <w:rsid w:val="00AB3083"/>
    <w:rsid w:val="00AB5DD1"/>
    <w:rsid w:val="00AB6A41"/>
    <w:rsid w:val="00AB72EF"/>
    <w:rsid w:val="00AB76E8"/>
    <w:rsid w:val="00AB787B"/>
    <w:rsid w:val="00AC065B"/>
    <w:rsid w:val="00AC1F42"/>
    <w:rsid w:val="00AC5350"/>
    <w:rsid w:val="00AC6386"/>
    <w:rsid w:val="00AC6EF1"/>
    <w:rsid w:val="00AD00F5"/>
    <w:rsid w:val="00AD2B20"/>
    <w:rsid w:val="00AD2B9F"/>
    <w:rsid w:val="00AE0471"/>
    <w:rsid w:val="00AE0D51"/>
    <w:rsid w:val="00AE2168"/>
    <w:rsid w:val="00AE72D7"/>
    <w:rsid w:val="00AF02F2"/>
    <w:rsid w:val="00AF0B2E"/>
    <w:rsid w:val="00AF33F4"/>
    <w:rsid w:val="00AF399B"/>
    <w:rsid w:val="00AF5852"/>
    <w:rsid w:val="00AF606B"/>
    <w:rsid w:val="00AF6BFD"/>
    <w:rsid w:val="00B013A3"/>
    <w:rsid w:val="00B015A1"/>
    <w:rsid w:val="00B018CD"/>
    <w:rsid w:val="00B03426"/>
    <w:rsid w:val="00B03461"/>
    <w:rsid w:val="00B03D1E"/>
    <w:rsid w:val="00B0471C"/>
    <w:rsid w:val="00B048A8"/>
    <w:rsid w:val="00B06A02"/>
    <w:rsid w:val="00B075BE"/>
    <w:rsid w:val="00B1067F"/>
    <w:rsid w:val="00B12804"/>
    <w:rsid w:val="00B12919"/>
    <w:rsid w:val="00B12E9B"/>
    <w:rsid w:val="00B144EA"/>
    <w:rsid w:val="00B1504A"/>
    <w:rsid w:val="00B16714"/>
    <w:rsid w:val="00B16F7A"/>
    <w:rsid w:val="00B176CF"/>
    <w:rsid w:val="00B221F8"/>
    <w:rsid w:val="00B2257B"/>
    <w:rsid w:val="00B22B97"/>
    <w:rsid w:val="00B25CED"/>
    <w:rsid w:val="00B26774"/>
    <w:rsid w:val="00B27246"/>
    <w:rsid w:val="00B27FB7"/>
    <w:rsid w:val="00B30384"/>
    <w:rsid w:val="00B32A5A"/>
    <w:rsid w:val="00B346E0"/>
    <w:rsid w:val="00B368C3"/>
    <w:rsid w:val="00B40403"/>
    <w:rsid w:val="00B40539"/>
    <w:rsid w:val="00B413F6"/>
    <w:rsid w:val="00B41822"/>
    <w:rsid w:val="00B42B0B"/>
    <w:rsid w:val="00B42CF9"/>
    <w:rsid w:val="00B440C2"/>
    <w:rsid w:val="00B44BA7"/>
    <w:rsid w:val="00B451AA"/>
    <w:rsid w:val="00B455E9"/>
    <w:rsid w:val="00B46A8E"/>
    <w:rsid w:val="00B4728F"/>
    <w:rsid w:val="00B477EC"/>
    <w:rsid w:val="00B52402"/>
    <w:rsid w:val="00B52D14"/>
    <w:rsid w:val="00B564FF"/>
    <w:rsid w:val="00B60C40"/>
    <w:rsid w:val="00B61E77"/>
    <w:rsid w:val="00B630B0"/>
    <w:rsid w:val="00B64186"/>
    <w:rsid w:val="00B64A55"/>
    <w:rsid w:val="00B669A5"/>
    <w:rsid w:val="00B6712F"/>
    <w:rsid w:val="00B67EDA"/>
    <w:rsid w:val="00B7051B"/>
    <w:rsid w:val="00B70D5C"/>
    <w:rsid w:val="00B70EC4"/>
    <w:rsid w:val="00B71008"/>
    <w:rsid w:val="00B72EB0"/>
    <w:rsid w:val="00B72F93"/>
    <w:rsid w:val="00B74561"/>
    <w:rsid w:val="00B7457F"/>
    <w:rsid w:val="00B74A21"/>
    <w:rsid w:val="00B74CB6"/>
    <w:rsid w:val="00B77979"/>
    <w:rsid w:val="00B77FA3"/>
    <w:rsid w:val="00B80723"/>
    <w:rsid w:val="00B80C4D"/>
    <w:rsid w:val="00B80D67"/>
    <w:rsid w:val="00B80E58"/>
    <w:rsid w:val="00B8194D"/>
    <w:rsid w:val="00B81D0E"/>
    <w:rsid w:val="00B81D58"/>
    <w:rsid w:val="00B82648"/>
    <w:rsid w:val="00B8374B"/>
    <w:rsid w:val="00B838F6"/>
    <w:rsid w:val="00B85932"/>
    <w:rsid w:val="00B871D5"/>
    <w:rsid w:val="00B87B38"/>
    <w:rsid w:val="00B90C41"/>
    <w:rsid w:val="00B90F85"/>
    <w:rsid w:val="00B91B1F"/>
    <w:rsid w:val="00B91FA6"/>
    <w:rsid w:val="00B9296D"/>
    <w:rsid w:val="00B929F7"/>
    <w:rsid w:val="00B9384F"/>
    <w:rsid w:val="00B939C0"/>
    <w:rsid w:val="00B9471D"/>
    <w:rsid w:val="00B95C64"/>
    <w:rsid w:val="00B967C4"/>
    <w:rsid w:val="00B97274"/>
    <w:rsid w:val="00B975CB"/>
    <w:rsid w:val="00B978DF"/>
    <w:rsid w:val="00BA0054"/>
    <w:rsid w:val="00BA0318"/>
    <w:rsid w:val="00BA0358"/>
    <w:rsid w:val="00BA07A9"/>
    <w:rsid w:val="00BA1B05"/>
    <w:rsid w:val="00BA39A6"/>
    <w:rsid w:val="00BA3B1F"/>
    <w:rsid w:val="00BA5511"/>
    <w:rsid w:val="00BA6060"/>
    <w:rsid w:val="00BA6CA0"/>
    <w:rsid w:val="00BA6EEA"/>
    <w:rsid w:val="00BB4D7F"/>
    <w:rsid w:val="00BB54A1"/>
    <w:rsid w:val="00BB55BD"/>
    <w:rsid w:val="00BB6E33"/>
    <w:rsid w:val="00BB6E7D"/>
    <w:rsid w:val="00BC0CB4"/>
    <w:rsid w:val="00BC19A9"/>
    <w:rsid w:val="00BC209E"/>
    <w:rsid w:val="00BC31D4"/>
    <w:rsid w:val="00BC4167"/>
    <w:rsid w:val="00BC4347"/>
    <w:rsid w:val="00BC4A6D"/>
    <w:rsid w:val="00BC58F0"/>
    <w:rsid w:val="00BC6940"/>
    <w:rsid w:val="00BD0834"/>
    <w:rsid w:val="00BD12CC"/>
    <w:rsid w:val="00BD19A9"/>
    <w:rsid w:val="00BD2978"/>
    <w:rsid w:val="00BD2AE0"/>
    <w:rsid w:val="00BD3030"/>
    <w:rsid w:val="00BD30A2"/>
    <w:rsid w:val="00BD3345"/>
    <w:rsid w:val="00BD3A62"/>
    <w:rsid w:val="00BD4C99"/>
    <w:rsid w:val="00BD6481"/>
    <w:rsid w:val="00BE02BD"/>
    <w:rsid w:val="00BE0341"/>
    <w:rsid w:val="00BE0D25"/>
    <w:rsid w:val="00BE1141"/>
    <w:rsid w:val="00BE1406"/>
    <w:rsid w:val="00BE2300"/>
    <w:rsid w:val="00BE5ADD"/>
    <w:rsid w:val="00BE5D3F"/>
    <w:rsid w:val="00BE6ED2"/>
    <w:rsid w:val="00BE75BE"/>
    <w:rsid w:val="00BE7BB0"/>
    <w:rsid w:val="00BF08B1"/>
    <w:rsid w:val="00BF2900"/>
    <w:rsid w:val="00BF2D25"/>
    <w:rsid w:val="00BF315E"/>
    <w:rsid w:val="00BF5CBF"/>
    <w:rsid w:val="00BF602A"/>
    <w:rsid w:val="00BF6692"/>
    <w:rsid w:val="00C00637"/>
    <w:rsid w:val="00C019F8"/>
    <w:rsid w:val="00C0228D"/>
    <w:rsid w:val="00C0257E"/>
    <w:rsid w:val="00C02665"/>
    <w:rsid w:val="00C0335E"/>
    <w:rsid w:val="00C046F5"/>
    <w:rsid w:val="00C04EB5"/>
    <w:rsid w:val="00C05531"/>
    <w:rsid w:val="00C05D27"/>
    <w:rsid w:val="00C06879"/>
    <w:rsid w:val="00C07935"/>
    <w:rsid w:val="00C07A81"/>
    <w:rsid w:val="00C10E7C"/>
    <w:rsid w:val="00C11AE9"/>
    <w:rsid w:val="00C11DEE"/>
    <w:rsid w:val="00C120FF"/>
    <w:rsid w:val="00C14418"/>
    <w:rsid w:val="00C17CA6"/>
    <w:rsid w:val="00C17FB3"/>
    <w:rsid w:val="00C2101F"/>
    <w:rsid w:val="00C21119"/>
    <w:rsid w:val="00C21E17"/>
    <w:rsid w:val="00C22308"/>
    <w:rsid w:val="00C22AA8"/>
    <w:rsid w:val="00C22B01"/>
    <w:rsid w:val="00C24560"/>
    <w:rsid w:val="00C24F89"/>
    <w:rsid w:val="00C250E0"/>
    <w:rsid w:val="00C30766"/>
    <w:rsid w:val="00C30C78"/>
    <w:rsid w:val="00C31381"/>
    <w:rsid w:val="00C330FE"/>
    <w:rsid w:val="00C332FD"/>
    <w:rsid w:val="00C3399B"/>
    <w:rsid w:val="00C33ABA"/>
    <w:rsid w:val="00C3470C"/>
    <w:rsid w:val="00C34A0F"/>
    <w:rsid w:val="00C34BCC"/>
    <w:rsid w:val="00C352C9"/>
    <w:rsid w:val="00C35387"/>
    <w:rsid w:val="00C357FD"/>
    <w:rsid w:val="00C40BD7"/>
    <w:rsid w:val="00C4175D"/>
    <w:rsid w:val="00C41A87"/>
    <w:rsid w:val="00C41BEC"/>
    <w:rsid w:val="00C42808"/>
    <w:rsid w:val="00C43456"/>
    <w:rsid w:val="00C44B58"/>
    <w:rsid w:val="00C47129"/>
    <w:rsid w:val="00C50036"/>
    <w:rsid w:val="00C50E5F"/>
    <w:rsid w:val="00C51D0D"/>
    <w:rsid w:val="00C51E97"/>
    <w:rsid w:val="00C54746"/>
    <w:rsid w:val="00C55195"/>
    <w:rsid w:val="00C570E3"/>
    <w:rsid w:val="00C57275"/>
    <w:rsid w:val="00C57393"/>
    <w:rsid w:val="00C5757E"/>
    <w:rsid w:val="00C576A8"/>
    <w:rsid w:val="00C621A2"/>
    <w:rsid w:val="00C632E9"/>
    <w:rsid w:val="00C639C3"/>
    <w:rsid w:val="00C64810"/>
    <w:rsid w:val="00C6653C"/>
    <w:rsid w:val="00C66CD8"/>
    <w:rsid w:val="00C7071A"/>
    <w:rsid w:val="00C70D99"/>
    <w:rsid w:val="00C740C0"/>
    <w:rsid w:val="00C74750"/>
    <w:rsid w:val="00C74E84"/>
    <w:rsid w:val="00C7678D"/>
    <w:rsid w:val="00C80287"/>
    <w:rsid w:val="00C8056B"/>
    <w:rsid w:val="00C80ABA"/>
    <w:rsid w:val="00C81551"/>
    <w:rsid w:val="00C822F2"/>
    <w:rsid w:val="00C825EC"/>
    <w:rsid w:val="00C83151"/>
    <w:rsid w:val="00C83362"/>
    <w:rsid w:val="00C83BAE"/>
    <w:rsid w:val="00C85505"/>
    <w:rsid w:val="00C87261"/>
    <w:rsid w:val="00C8755B"/>
    <w:rsid w:val="00C87F3D"/>
    <w:rsid w:val="00C90085"/>
    <w:rsid w:val="00C907B6"/>
    <w:rsid w:val="00C90B9E"/>
    <w:rsid w:val="00C931B1"/>
    <w:rsid w:val="00C9436D"/>
    <w:rsid w:val="00C94A7B"/>
    <w:rsid w:val="00C96525"/>
    <w:rsid w:val="00C96B89"/>
    <w:rsid w:val="00CA0500"/>
    <w:rsid w:val="00CA1570"/>
    <w:rsid w:val="00CA1E54"/>
    <w:rsid w:val="00CA2927"/>
    <w:rsid w:val="00CA34D5"/>
    <w:rsid w:val="00CA6149"/>
    <w:rsid w:val="00CA6AC2"/>
    <w:rsid w:val="00CA6F20"/>
    <w:rsid w:val="00CB3A1D"/>
    <w:rsid w:val="00CB52B7"/>
    <w:rsid w:val="00CB53A3"/>
    <w:rsid w:val="00CB5AC5"/>
    <w:rsid w:val="00CB611A"/>
    <w:rsid w:val="00CB61E4"/>
    <w:rsid w:val="00CB6B7F"/>
    <w:rsid w:val="00CB79C4"/>
    <w:rsid w:val="00CC3790"/>
    <w:rsid w:val="00CC4531"/>
    <w:rsid w:val="00CC4C59"/>
    <w:rsid w:val="00CC5FF6"/>
    <w:rsid w:val="00CC63E2"/>
    <w:rsid w:val="00CC6458"/>
    <w:rsid w:val="00CC7655"/>
    <w:rsid w:val="00CC76D3"/>
    <w:rsid w:val="00CC773F"/>
    <w:rsid w:val="00CD038D"/>
    <w:rsid w:val="00CD1B49"/>
    <w:rsid w:val="00CD3A83"/>
    <w:rsid w:val="00CD4B53"/>
    <w:rsid w:val="00CD587B"/>
    <w:rsid w:val="00CD6392"/>
    <w:rsid w:val="00CD69F1"/>
    <w:rsid w:val="00CD7812"/>
    <w:rsid w:val="00CE3083"/>
    <w:rsid w:val="00CE35D8"/>
    <w:rsid w:val="00CE45D7"/>
    <w:rsid w:val="00CE47B2"/>
    <w:rsid w:val="00CE54F3"/>
    <w:rsid w:val="00CE5778"/>
    <w:rsid w:val="00CE5905"/>
    <w:rsid w:val="00CE6387"/>
    <w:rsid w:val="00CF057A"/>
    <w:rsid w:val="00CF6E70"/>
    <w:rsid w:val="00D00179"/>
    <w:rsid w:val="00D02A98"/>
    <w:rsid w:val="00D038B1"/>
    <w:rsid w:val="00D069B6"/>
    <w:rsid w:val="00D072D6"/>
    <w:rsid w:val="00D1237A"/>
    <w:rsid w:val="00D12491"/>
    <w:rsid w:val="00D12780"/>
    <w:rsid w:val="00D14B12"/>
    <w:rsid w:val="00D14B20"/>
    <w:rsid w:val="00D157C7"/>
    <w:rsid w:val="00D16893"/>
    <w:rsid w:val="00D17930"/>
    <w:rsid w:val="00D213D7"/>
    <w:rsid w:val="00D224DF"/>
    <w:rsid w:val="00D22526"/>
    <w:rsid w:val="00D22E37"/>
    <w:rsid w:val="00D268FC"/>
    <w:rsid w:val="00D27A29"/>
    <w:rsid w:val="00D304F4"/>
    <w:rsid w:val="00D30822"/>
    <w:rsid w:val="00D30D5B"/>
    <w:rsid w:val="00D30F55"/>
    <w:rsid w:val="00D3122A"/>
    <w:rsid w:val="00D31E98"/>
    <w:rsid w:val="00D322BC"/>
    <w:rsid w:val="00D322C2"/>
    <w:rsid w:val="00D3288B"/>
    <w:rsid w:val="00D33D06"/>
    <w:rsid w:val="00D3474F"/>
    <w:rsid w:val="00D36690"/>
    <w:rsid w:val="00D36B6B"/>
    <w:rsid w:val="00D3728F"/>
    <w:rsid w:val="00D37F5E"/>
    <w:rsid w:val="00D40AF8"/>
    <w:rsid w:val="00D41A9F"/>
    <w:rsid w:val="00D4315F"/>
    <w:rsid w:val="00D45D4F"/>
    <w:rsid w:val="00D471B8"/>
    <w:rsid w:val="00D4744B"/>
    <w:rsid w:val="00D510A8"/>
    <w:rsid w:val="00D513D6"/>
    <w:rsid w:val="00D521C5"/>
    <w:rsid w:val="00D52492"/>
    <w:rsid w:val="00D5424E"/>
    <w:rsid w:val="00D54417"/>
    <w:rsid w:val="00D54821"/>
    <w:rsid w:val="00D551A6"/>
    <w:rsid w:val="00D55B54"/>
    <w:rsid w:val="00D55C80"/>
    <w:rsid w:val="00D55DF1"/>
    <w:rsid w:val="00D562DB"/>
    <w:rsid w:val="00D56358"/>
    <w:rsid w:val="00D57058"/>
    <w:rsid w:val="00D57329"/>
    <w:rsid w:val="00D61A1A"/>
    <w:rsid w:val="00D62455"/>
    <w:rsid w:val="00D66459"/>
    <w:rsid w:val="00D6649E"/>
    <w:rsid w:val="00D669D3"/>
    <w:rsid w:val="00D66D60"/>
    <w:rsid w:val="00D676CB"/>
    <w:rsid w:val="00D67CD9"/>
    <w:rsid w:val="00D67D33"/>
    <w:rsid w:val="00D7196C"/>
    <w:rsid w:val="00D7240D"/>
    <w:rsid w:val="00D72C62"/>
    <w:rsid w:val="00D74541"/>
    <w:rsid w:val="00D7505A"/>
    <w:rsid w:val="00D779BC"/>
    <w:rsid w:val="00D800FC"/>
    <w:rsid w:val="00D80588"/>
    <w:rsid w:val="00D8146A"/>
    <w:rsid w:val="00D82871"/>
    <w:rsid w:val="00D85FF6"/>
    <w:rsid w:val="00D91017"/>
    <w:rsid w:val="00D9111F"/>
    <w:rsid w:val="00D93FF3"/>
    <w:rsid w:val="00D947E5"/>
    <w:rsid w:val="00D94EA3"/>
    <w:rsid w:val="00D959E9"/>
    <w:rsid w:val="00DA1E72"/>
    <w:rsid w:val="00DA2CFB"/>
    <w:rsid w:val="00DA42A4"/>
    <w:rsid w:val="00DA644E"/>
    <w:rsid w:val="00DA65A2"/>
    <w:rsid w:val="00DA684F"/>
    <w:rsid w:val="00DA723B"/>
    <w:rsid w:val="00DA7FAB"/>
    <w:rsid w:val="00DA7FF0"/>
    <w:rsid w:val="00DB0ACE"/>
    <w:rsid w:val="00DB10AA"/>
    <w:rsid w:val="00DB30FB"/>
    <w:rsid w:val="00DB3219"/>
    <w:rsid w:val="00DB42BA"/>
    <w:rsid w:val="00DB45B9"/>
    <w:rsid w:val="00DB584F"/>
    <w:rsid w:val="00DB5E00"/>
    <w:rsid w:val="00DB64CE"/>
    <w:rsid w:val="00DB7276"/>
    <w:rsid w:val="00DB7748"/>
    <w:rsid w:val="00DC1C5C"/>
    <w:rsid w:val="00DC31D6"/>
    <w:rsid w:val="00DC4042"/>
    <w:rsid w:val="00DC5620"/>
    <w:rsid w:val="00DC5E9D"/>
    <w:rsid w:val="00DC692A"/>
    <w:rsid w:val="00DC726E"/>
    <w:rsid w:val="00DC749F"/>
    <w:rsid w:val="00DD0F54"/>
    <w:rsid w:val="00DD2BFD"/>
    <w:rsid w:val="00DD304F"/>
    <w:rsid w:val="00DD316E"/>
    <w:rsid w:val="00DD347E"/>
    <w:rsid w:val="00DD3D77"/>
    <w:rsid w:val="00DD4311"/>
    <w:rsid w:val="00DD6F76"/>
    <w:rsid w:val="00DD6FE0"/>
    <w:rsid w:val="00DD7122"/>
    <w:rsid w:val="00DE07DE"/>
    <w:rsid w:val="00DE19D0"/>
    <w:rsid w:val="00DE3714"/>
    <w:rsid w:val="00DE3A81"/>
    <w:rsid w:val="00DE5EBF"/>
    <w:rsid w:val="00DE6A8C"/>
    <w:rsid w:val="00DE6FC1"/>
    <w:rsid w:val="00DE7AA8"/>
    <w:rsid w:val="00DF028A"/>
    <w:rsid w:val="00DF46A1"/>
    <w:rsid w:val="00DF4C64"/>
    <w:rsid w:val="00DF4E8D"/>
    <w:rsid w:val="00DF50C8"/>
    <w:rsid w:val="00DF7491"/>
    <w:rsid w:val="00E00EE3"/>
    <w:rsid w:val="00E01185"/>
    <w:rsid w:val="00E01A3A"/>
    <w:rsid w:val="00E03850"/>
    <w:rsid w:val="00E04339"/>
    <w:rsid w:val="00E0516F"/>
    <w:rsid w:val="00E06126"/>
    <w:rsid w:val="00E066BC"/>
    <w:rsid w:val="00E06809"/>
    <w:rsid w:val="00E07AFB"/>
    <w:rsid w:val="00E10212"/>
    <w:rsid w:val="00E11788"/>
    <w:rsid w:val="00E11C64"/>
    <w:rsid w:val="00E11C9D"/>
    <w:rsid w:val="00E12068"/>
    <w:rsid w:val="00E12D0C"/>
    <w:rsid w:val="00E133E5"/>
    <w:rsid w:val="00E134D8"/>
    <w:rsid w:val="00E13CEC"/>
    <w:rsid w:val="00E14503"/>
    <w:rsid w:val="00E152AB"/>
    <w:rsid w:val="00E15743"/>
    <w:rsid w:val="00E16459"/>
    <w:rsid w:val="00E17D6F"/>
    <w:rsid w:val="00E22BB0"/>
    <w:rsid w:val="00E24F17"/>
    <w:rsid w:val="00E25D79"/>
    <w:rsid w:val="00E2712C"/>
    <w:rsid w:val="00E27238"/>
    <w:rsid w:val="00E272DB"/>
    <w:rsid w:val="00E27CF6"/>
    <w:rsid w:val="00E27D61"/>
    <w:rsid w:val="00E33816"/>
    <w:rsid w:val="00E35784"/>
    <w:rsid w:val="00E36F44"/>
    <w:rsid w:val="00E371E9"/>
    <w:rsid w:val="00E4046F"/>
    <w:rsid w:val="00E409AB"/>
    <w:rsid w:val="00E41930"/>
    <w:rsid w:val="00E42131"/>
    <w:rsid w:val="00E427CF"/>
    <w:rsid w:val="00E430B1"/>
    <w:rsid w:val="00E43129"/>
    <w:rsid w:val="00E438FF"/>
    <w:rsid w:val="00E448D7"/>
    <w:rsid w:val="00E44EBA"/>
    <w:rsid w:val="00E5488F"/>
    <w:rsid w:val="00E54C50"/>
    <w:rsid w:val="00E54F22"/>
    <w:rsid w:val="00E55205"/>
    <w:rsid w:val="00E55B58"/>
    <w:rsid w:val="00E57100"/>
    <w:rsid w:val="00E573F3"/>
    <w:rsid w:val="00E600CA"/>
    <w:rsid w:val="00E62CD6"/>
    <w:rsid w:val="00E62F20"/>
    <w:rsid w:val="00E63889"/>
    <w:rsid w:val="00E65CE5"/>
    <w:rsid w:val="00E65E2A"/>
    <w:rsid w:val="00E663B0"/>
    <w:rsid w:val="00E67399"/>
    <w:rsid w:val="00E67BA2"/>
    <w:rsid w:val="00E67D08"/>
    <w:rsid w:val="00E70CBA"/>
    <w:rsid w:val="00E70EEE"/>
    <w:rsid w:val="00E716AC"/>
    <w:rsid w:val="00E71F93"/>
    <w:rsid w:val="00E7203E"/>
    <w:rsid w:val="00E72455"/>
    <w:rsid w:val="00E7337C"/>
    <w:rsid w:val="00E73A12"/>
    <w:rsid w:val="00E73F7F"/>
    <w:rsid w:val="00E7591A"/>
    <w:rsid w:val="00E76AF8"/>
    <w:rsid w:val="00E800C5"/>
    <w:rsid w:val="00E80289"/>
    <w:rsid w:val="00E81233"/>
    <w:rsid w:val="00E81E66"/>
    <w:rsid w:val="00E821E2"/>
    <w:rsid w:val="00E82B67"/>
    <w:rsid w:val="00E8526B"/>
    <w:rsid w:val="00E852A8"/>
    <w:rsid w:val="00E90067"/>
    <w:rsid w:val="00E902AB"/>
    <w:rsid w:val="00E909F8"/>
    <w:rsid w:val="00E90D90"/>
    <w:rsid w:val="00E920A4"/>
    <w:rsid w:val="00E947B5"/>
    <w:rsid w:val="00E94870"/>
    <w:rsid w:val="00E95550"/>
    <w:rsid w:val="00E97051"/>
    <w:rsid w:val="00E97232"/>
    <w:rsid w:val="00E975B6"/>
    <w:rsid w:val="00EA1046"/>
    <w:rsid w:val="00EA1637"/>
    <w:rsid w:val="00EA35AB"/>
    <w:rsid w:val="00EA3BEC"/>
    <w:rsid w:val="00EA46A2"/>
    <w:rsid w:val="00EA495D"/>
    <w:rsid w:val="00EA58BE"/>
    <w:rsid w:val="00EA6521"/>
    <w:rsid w:val="00EA722F"/>
    <w:rsid w:val="00EB0A87"/>
    <w:rsid w:val="00EB0EEC"/>
    <w:rsid w:val="00EB1D0B"/>
    <w:rsid w:val="00EB22DD"/>
    <w:rsid w:val="00EB2406"/>
    <w:rsid w:val="00EB279B"/>
    <w:rsid w:val="00EB32CB"/>
    <w:rsid w:val="00EB3BA7"/>
    <w:rsid w:val="00EB3D51"/>
    <w:rsid w:val="00EB4E23"/>
    <w:rsid w:val="00EB4F6B"/>
    <w:rsid w:val="00EB5401"/>
    <w:rsid w:val="00EB7BAE"/>
    <w:rsid w:val="00EC1626"/>
    <w:rsid w:val="00EC1927"/>
    <w:rsid w:val="00EC1F36"/>
    <w:rsid w:val="00EC55DF"/>
    <w:rsid w:val="00EC716F"/>
    <w:rsid w:val="00EC76B5"/>
    <w:rsid w:val="00EC7985"/>
    <w:rsid w:val="00ED0483"/>
    <w:rsid w:val="00ED07A3"/>
    <w:rsid w:val="00ED0C58"/>
    <w:rsid w:val="00ED1262"/>
    <w:rsid w:val="00ED2F3F"/>
    <w:rsid w:val="00ED5273"/>
    <w:rsid w:val="00ED5E3C"/>
    <w:rsid w:val="00ED6C7D"/>
    <w:rsid w:val="00EE127C"/>
    <w:rsid w:val="00EE3D72"/>
    <w:rsid w:val="00EE4C47"/>
    <w:rsid w:val="00EE5937"/>
    <w:rsid w:val="00EF021B"/>
    <w:rsid w:val="00EF0628"/>
    <w:rsid w:val="00EF5480"/>
    <w:rsid w:val="00EF6FAE"/>
    <w:rsid w:val="00EF7316"/>
    <w:rsid w:val="00F007D2"/>
    <w:rsid w:val="00F01CE0"/>
    <w:rsid w:val="00F062DD"/>
    <w:rsid w:val="00F07D83"/>
    <w:rsid w:val="00F105A9"/>
    <w:rsid w:val="00F1390F"/>
    <w:rsid w:val="00F13B39"/>
    <w:rsid w:val="00F14352"/>
    <w:rsid w:val="00F160BD"/>
    <w:rsid w:val="00F1654E"/>
    <w:rsid w:val="00F17606"/>
    <w:rsid w:val="00F201A6"/>
    <w:rsid w:val="00F20E6E"/>
    <w:rsid w:val="00F21807"/>
    <w:rsid w:val="00F21934"/>
    <w:rsid w:val="00F23485"/>
    <w:rsid w:val="00F2423A"/>
    <w:rsid w:val="00F24520"/>
    <w:rsid w:val="00F256CD"/>
    <w:rsid w:val="00F26628"/>
    <w:rsid w:val="00F26D32"/>
    <w:rsid w:val="00F26DA0"/>
    <w:rsid w:val="00F27754"/>
    <w:rsid w:val="00F306B3"/>
    <w:rsid w:val="00F31D43"/>
    <w:rsid w:val="00F3261F"/>
    <w:rsid w:val="00F32A2D"/>
    <w:rsid w:val="00F33204"/>
    <w:rsid w:val="00F33F1B"/>
    <w:rsid w:val="00F34FC0"/>
    <w:rsid w:val="00F357A2"/>
    <w:rsid w:val="00F358A6"/>
    <w:rsid w:val="00F35FB7"/>
    <w:rsid w:val="00F35FFA"/>
    <w:rsid w:val="00F40BD3"/>
    <w:rsid w:val="00F413FF"/>
    <w:rsid w:val="00F435A3"/>
    <w:rsid w:val="00F46BD0"/>
    <w:rsid w:val="00F502EF"/>
    <w:rsid w:val="00F50F4B"/>
    <w:rsid w:val="00F51303"/>
    <w:rsid w:val="00F5160F"/>
    <w:rsid w:val="00F54A5E"/>
    <w:rsid w:val="00F56A84"/>
    <w:rsid w:val="00F57D6C"/>
    <w:rsid w:val="00F62286"/>
    <w:rsid w:val="00F62694"/>
    <w:rsid w:val="00F62D2A"/>
    <w:rsid w:val="00F63356"/>
    <w:rsid w:val="00F636FD"/>
    <w:rsid w:val="00F639D5"/>
    <w:rsid w:val="00F64082"/>
    <w:rsid w:val="00F64F86"/>
    <w:rsid w:val="00F65102"/>
    <w:rsid w:val="00F6698A"/>
    <w:rsid w:val="00F700AB"/>
    <w:rsid w:val="00F70508"/>
    <w:rsid w:val="00F71859"/>
    <w:rsid w:val="00F71F34"/>
    <w:rsid w:val="00F73462"/>
    <w:rsid w:val="00F740E3"/>
    <w:rsid w:val="00F74C0E"/>
    <w:rsid w:val="00F76E3E"/>
    <w:rsid w:val="00F77DB2"/>
    <w:rsid w:val="00F85537"/>
    <w:rsid w:val="00F86B0D"/>
    <w:rsid w:val="00F8747B"/>
    <w:rsid w:val="00F91EDE"/>
    <w:rsid w:val="00F92EA8"/>
    <w:rsid w:val="00F95DB4"/>
    <w:rsid w:val="00F97819"/>
    <w:rsid w:val="00FA0B1F"/>
    <w:rsid w:val="00FA0C74"/>
    <w:rsid w:val="00FA178A"/>
    <w:rsid w:val="00FA1F0F"/>
    <w:rsid w:val="00FA2B3F"/>
    <w:rsid w:val="00FA2B48"/>
    <w:rsid w:val="00FA3E8D"/>
    <w:rsid w:val="00FA4EBD"/>
    <w:rsid w:val="00FA4EE7"/>
    <w:rsid w:val="00FA501F"/>
    <w:rsid w:val="00FA50CC"/>
    <w:rsid w:val="00FA51A1"/>
    <w:rsid w:val="00FA6BC9"/>
    <w:rsid w:val="00FA7E1D"/>
    <w:rsid w:val="00FA7F0D"/>
    <w:rsid w:val="00FB0127"/>
    <w:rsid w:val="00FB0D84"/>
    <w:rsid w:val="00FB17D3"/>
    <w:rsid w:val="00FB30A5"/>
    <w:rsid w:val="00FB3324"/>
    <w:rsid w:val="00FB492E"/>
    <w:rsid w:val="00FB55C8"/>
    <w:rsid w:val="00FB5F8F"/>
    <w:rsid w:val="00FB6BB5"/>
    <w:rsid w:val="00FB6FD0"/>
    <w:rsid w:val="00FC09D1"/>
    <w:rsid w:val="00FC2E27"/>
    <w:rsid w:val="00FC30B6"/>
    <w:rsid w:val="00FC3327"/>
    <w:rsid w:val="00FC37E9"/>
    <w:rsid w:val="00FC5669"/>
    <w:rsid w:val="00FD0638"/>
    <w:rsid w:val="00FD3538"/>
    <w:rsid w:val="00FD428A"/>
    <w:rsid w:val="00FD4B8C"/>
    <w:rsid w:val="00FD626C"/>
    <w:rsid w:val="00FD65D4"/>
    <w:rsid w:val="00FD6F4B"/>
    <w:rsid w:val="00FE0347"/>
    <w:rsid w:val="00FE1953"/>
    <w:rsid w:val="00FE24DE"/>
    <w:rsid w:val="00FE251A"/>
    <w:rsid w:val="00FE2C37"/>
    <w:rsid w:val="00FE2C94"/>
    <w:rsid w:val="00FE2F45"/>
    <w:rsid w:val="00FE33A7"/>
    <w:rsid w:val="00FE46F9"/>
    <w:rsid w:val="00FE4A65"/>
    <w:rsid w:val="00FE4CAF"/>
    <w:rsid w:val="00FE5E6D"/>
    <w:rsid w:val="00FE64DC"/>
    <w:rsid w:val="00FE6B33"/>
    <w:rsid w:val="00FE6E60"/>
    <w:rsid w:val="00FF033E"/>
    <w:rsid w:val="00FF0619"/>
    <w:rsid w:val="00FF0861"/>
    <w:rsid w:val="00FF093F"/>
    <w:rsid w:val="00FF0A1B"/>
    <w:rsid w:val="00FF0CD9"/>
    <w:rsid w:val="00FF0D81"/>
    <w:rsid w:val="00FF12B6"/>
    <w:rsid w:val="00FF1F4C"/>
    <w:rsid w:val="00FF2007"/>
    <w:rsid w:val="00FF2238"/>
    <w:rsid w:val="00FF390E"/>
    <w:rsid w:val="00FF4558"/>
    <w:rsid w:val="00FF4E2B"/>
    <w:rsid w:val="00FF55F1"/>
    <w:rsid w:val="00FF57B8"/>
    <w:rsid w:val="00FF590D"/>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DA8"/>
  <w15:docId w15:val="{BE208D16-EDF8-4FD9-AAA1-5066EA7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F4"/>
  </w:style>
  <w:style w:type="paragraph" w:styleId="Heading1">
    <w:name w:val="heading 1"/>
    <w:basedOn w:val="Normal"/>
    <w:next w:val="Normal"/>
    <w:link w:val="Heading1Char"/>
    <w:uiPriority w:val="9"/>
    <w:qFormat/>
    <w:rsid w:val="00A7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1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8F"/>
    <w:pPr>
      <w:ind w:left="720"/>
      <w:contextualSpacing/>
    </w:pPr>
  </w:style>
  <w:style w:type="character" w:styleId="Hyperlink">
    <w:name w:val="Hyperlink"/>
    <w:basedOn w:val="DefaultParagraphFont"/>
    <w:uiPriority w:val="99"/>
    <w:unhideWhenUsed/>
    <w:rsid w:val="001A0B0C"/>
    <w:rPr>
      <w:color w:val="0563C1" w:themeColor="hyperlink"/>
      <w:u w:val="single"/>
    </w:rPr>
  </w:style>
  <w:style w:type="character" w:styleId="UnresolvedMention">
    <w:name w:val="Unresolved Mention"/>
    <w:basedOn w:val="DefaultParagraphFont"/>
    <w:uiPriority w:val="99"/>
    <w:semiHidden/>
    <w:unhideWhenUsed/>
    <w:rsid w:val="001A0B0C"/>
    <w:rPr>
      <w:color w:val="605E5C"/>
      <w:shd w:val="clear" w:color="auto" w:fill="E1DFDD"/>
    </w:rPr>
  </w:style>
  <w:style w:type="character" w:styleId="FollowedHyperlink">
    <w:name w:val="FollowedHyperlink"/>
    <w:basedOn w:val="DefaultParagraphFont"/>
    <w:uiPriority w:val="99"/>
    <w:semiHidden/>
    <w:unhideWhenUsed/>
    <w:rsid w:val="00C57275"/>
    <w:rPr>
      <w:color w:val="954F72" w:themeColor="followedHyperlink"/>
      <w:u w:val="single"/>
    </w:rPr>
  </w:style>
  <w:style w:type="paragraph" w:styleId="Header">
    <w:name w:val="header"/>
    <w:basedOn w:val="Normal"/>
    <w:link w:val="HeaderChar"/>
    <w:uiPriority w:val="99"/>
    <w:unhideWhenUsed/>
    <w:rsid w:val="00AB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E8"/>
  </w:style>
  <w:style w:type="paragraph" w:styleId="Footer">
    <w:name w:val="footer"/>
    <w:basedOn w:val="Normal"/>
    <w:link w:val="FooterChar"/>
    <w:uiPriority w:val="99"/>
    <w:unhideWhenUsed/>
    <w:rsid w:val="00AB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E8"/>
  </w:style>
  <w:style w:type="paragraph" w:styleId="NormalWeb">
    <w:name w:val="Normal (Web)"/>
    <w:basedOn w:val="Normal"/>
    <w:uiPriority w:val="99"/>
    <w:unhideWhenUsed/>
    <w:rsid w:val="004C06C9"/>
    <w:rPr>
      <w:rFonts w:ascii="Times New Roman" w:hAnsi="Times New Roman" w:cs="Times New Roman"/>
      <w:sz w:val="24"/>
      <w:szCs w:val="24"/>
    </w:rPr>
  </w:style>
  <w:style w:type="character" w:styleId="Strong">
    <w:name w:val="Strong"/>
    <w:basedOn w:val="DefaultParagraphFont"/>
    <w:uiPriority w:val="22"/>
    <w:qFormat/>
    <w:rsid w:val="00375F87"/>
    <w:rPr>
      <w:b/>
      <w:bCs/>
    </w:rPr>
  </w:style>
  <w:style w:type="paragraph" w:styleId="NoSpacing">
    <w:name w:val="No Spacing"/>
    <w:uiPriority w:val="1"/>
    <w:qFormat/>
    <w:rsid w:val="00E73F7F"/>
    <w:pPr>
      <w:spacing w:after="0" w:line="240" w:lineRule="auto"/>
    </w:pPr>
  </w:style>
  <w:style w:type="paragraph" w:styleId="Revision">
    <w:name w:val="Revision"/>
    <w:hidden/>
    <w:uiPriority w:val="99"/>
    <w:semiHidden/>
    <w:rsid w:val="000B72EF"/>
    <w:pPr>
      <w:spacing w:after="0" w:line="240" w:lineRule="auto"/>
    </w:pPr>
  </w:style>
  <w:style w:type="character" w:customStyle="1" w:styleId="Heading2Char">
    <w:name w:val="Heading 2 Char"/>
    <w:basedOn w:val="DefaultParagraphFont"/>
    <w:link w:val="Heading2"/>
    <w:uiPriority w:val="9"/>
    <w:semiHidden/>
    <w:rsid w:val="004E17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34B0"/>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400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7">
      <w:bodyDiv w:val="1"/>
      <w:marLeft w:val="0"/>
      <w:marRight w:val="0"/>
      <w:marTop w:val="0"/>
      <w:marBottom w:val="0"/>
      <w:divBdr>
        <w:top w:val="none" w:sz="0" w:space="0" w:color="auto"/>
        <w:left w:val="none" w:sz="0" w:space="0" w:color="auto"/>
        <w:bottom w:val="none" w:sz="0" w:space="0" w:color="auto"/>
        <w:right w:val="none" w:sz="0" w:space="0" w:color="auto"/>
      </w:divBdr>
    </w:div>
    <w:div w:id="60493494">
      <w:bodyDiv w:val="1"/>
      <w:marLeft w:val="0"/>
      <w:marRight w:val="0"/>
      <w:marTop w:val="0"/>
      <w:marBottom w:val="0"/>
      <w:divBdr>
        <w:top w:val="none" w:sz="0" w:space="0" w:color="auto"/>
        <w:left w:val="none" w:sz="0" w:space="0" w:color="auto"/>
        <w:bottom w:val="none" w:sz="0" w:space="0" w:color="auto"/>
        <w:right w:val="none" w:sz="0" w:space="0" w:color="auto"/>
      </w:divBdr>
    </w:div>
    <w:div w:id="92941961">
      <w:bodyDiv w:val="1"/>
      <w:marLeft w:val="0"/>
      <w:marRight w:val="0"/>
      <w:marTop w:val="0"/>
      <w:marBottom w:val="0"/>
      <w:divBdr>
        <w:top w:val="none" w:sz="0" w:space="0" w:color="auto"/>
        <w:left w:val="none" w:sz="0" w:space="0" w:color="auto"/>
        <w:bottom w:val="none" w:sz="0" w:space="0" w:color="auto"/>
        <w:right w:val="none" w:sz="0" w:space="0" w:color="auto"/>
      </w:divBdr>
    </w:div>
    <w:div w:id="146286429">
      <w:bodyDiv w:val="1"/>
      <w:marLeft w:val="0"/>
      <w:marRight w:val="0"/>
      <w:marTop w:val="0"/>
      <w:marBottom w:val="0"/>
      <w:divBdr>
        <w:top w:val="none" w:sz="0" w:space="0" w:color="auto"/>
        <w:left w:val="none" w:sz="0" w:space="0" w:color="auto"/>
        <w:bottom w:val="none" w:sz="0" w:space="0" w:color="auto"/>
        <w:right w:val="none" w:sz="0" w:space="0" w:color="auto"/>
      </w:divBdr>
    </w:div>
    <w:div w:id="169831045">
      <w:bodyDiv w:val="1"/>
      <w:marLeft w:val="0"/>
      <w:marRight w:val="0"/>
      <w:marTop w:val="0"/>
      <w:marBottom w:val="0"/>
      <w:divBdr>
        <w:top w:val="none" w:sz="0" w:space="0" w:color="auto"/>
        <w:left w:val="none" w:sz="0" w:space="0" w:color="auto"/>
        <w:bottom w:val="none" w:sz="0" w:space="0" w:color="auto"/>
        <w:right w:val="none" w:sz="0" w:space="0" w:color="auto"/>
      </w:divBdr>
      <w:divsChild>
        <w:div w:id="1667005739">
          <w:marLeft w:val="0"/>
          <w:marRight w:val="0"/>
          <w:marTop w:val="0"/>
          <w:marBottom w:val="0"/>
          <w:divBdr>
            <w:top w:val="none" w:sz="0" w:space="0" w:color="auto"/>
            <w:left w:val="none" w:sz="0" w:space="0" w:color="auto"/>
            <w:bottom w:val="none" w:sz="0" w:space="0" w:color="auto"/>
            <w:right w:val="none" w:sz="0" w:space="0" w:color="auto"/>
          </w:divBdr>
        </w:div>
        <w:div w:id="139810425">
          <w:marLeft w:val="0"/>
          <w:marRight w:val="0"/>
          <w:marTop w:val="0"/>
          <w:marBottom w:val="0"/>
          <w:divBdr>
            <w:top w:val="none" w:sz="0" w:space="0" w:color="auto"/>
            <w:left w:val="none" w:sz="0" w:space="0" w:color="auto"/>
            <w:bottom w:val="none" w:sz="0" w:space="0" w:color="auto"/>
            <w:right w:val="none" w:sz="0" w:space="0" w:color="auto"/>
          </w:divBdr>
        </w:div>
      </w:divsChild>
    </w:div>
    <w:div w:id="176700477">
      <w:bodyDiv w:val="1"/>
      <w:marLeft w:val="0"/>
      <w:marRight w:val="0"/>
      <w:marTop w:val="0"/>
      <w:marBottom w:val="0"/>
      <w:divBdr>
        <w:top w:val="none" w:sz="0" w:space="0" w:color="auto"/>
        <w:left w:val="none" w:sz="0" w:space="0" w:color="auto"/>
        <w:bottom w:val="none" w:sz="0" w:space="0" w:color="auto"/>
        <w:right w:val="none" w:sz="0" w:space="0" w:color="auto"/>
      </w:divBdr>
    </w:div>
    <w:div w:id="182863302">
      <w:bodyDiv w:val="1"/>
      <w:marLeft w:val="0"/>
      <w:marRight w:val="0"/>
      <w:marTop w:val="0"/>
      <w:marBottom w:val="0"/>
      <w:divBdr>
        <w:top w:val="none" w:sz="0" w:space="0" w:color="auto"/>
        <w:left w:val="none" w:sz="0" w:space="0" w:color="auto"/>
        <w:bottom w:val="none" w:sz="0" w:space="0" w:color="auto"/>
        <w:right w:val="none" w:sz="0" w:space="0" w:color="auto"/>
      </w:divBdr>
    </w:div>
    <w:div w:id="216864169">
      <w:bodyDiv w:val="1"/>
      <w:marLeft w:val="0"/>
      <w:marRight w:val="0"/>
      <w:marTop w:val="0"/>
      <w:marBottom w:val="0"/>
      <w:divBdr>
        <w:top w:val="none" w:sz="0" w:space="0" w:color="auto"/>
        <w:left w:val="none" w:sz="0" w:space="0" w:color="auto"/>
        <w:bottom w:val="none" w:sz="0" w:space="0" w:color="auto"/>
        <w:right w:val="none" w:sz="0" w:space="0" w:color="auto"/>
      </w:divBdr>
    </w:div>
    <w:div w:id="228806203">
      <w:bodyDiv w:val="1"/>
      <w:marLeft w:val="0"/>
      <w:marRight w:val="0"/>
      <w:marTop w:val="0"/>
      <w:marBottom w:val="0"/>
      <w:divBdr>
        <w:top w:val="none" w:sz="0" w:space="0" w:color="auto"/>
        <w:left w:val="none" w:sz="0" w:space="0" w:color="auto"/>
        <w:bottom w:val="none" w:sz="0" w:space="0" w:color="auto"/>
        <w:right w:val="none" w:sz="0" w:space="0" w:color="auto"/>
      </w:divBdr>
    </w:div>
    <w:div w:id="232157117">
      <w:bodyDiv w:val="1"/>
      <w:marLeft w:val="0"/>
      <w:marRight w:val="0"/>
      <w:marTop w:val="0"/>
      <w:marBottom w:val="0"/>
      <w:divBdr>
        <w:top w:val="none" w:sz="0" w:space="0" w:color="auto"/>
        <w:left w:val="none" w:sz="0" w:space="0" w:color="auto"/>
        <w:bottom w:val="none" w:sz="0" w:space="0" w:color="auto"/>
        <w:right w:val="none" w:sz="0" w:space="0" w:color="auto"/>
      </w:divBdr>
    </w:div>
    <w:div w:id="267391136">
      <w:bodyDiv w:val="1"/>
      <w:marLeft w:val="0"/>
      <w:marRight w:val="0"/>
      <w:marTop w:val="0"/>
      <w:marBottom w:val="0"/>
      <w:divBdr>
        <w:top w:val="none" w:sz="0" w:space="0" w:color="auto"/>
        <w:left w:val="none" w:sz="0" w:space="0" w:color="auto"/>
        <w:bottom w:val="none" w:sz="0" w:space="0" w:color="auto"/>
        <w:right w:val="none" w:sz="0" w:space="0" w:color="auto"/>
      </w:divBdr>
    </w:div>
    <w:div w:id="299263955">
      <w:bodyDiv w:val="1"/>
      <w:marLeft w:val="0"/>
      <w:marRight w:val="0"/>
      <w:marTop w:val="0"/>
      <w:marBottom w:val="0"/>
      <w:divBdr>
        <w:top w:val="none" w:sz="0" w:space="0" w:color="auto"/>
        <w:left w:val="none" w:sz="0" w:space="0" w:color="auto"/>
        <w:bottom w:val="none" w:sz="0" w:space="0" w:color="auto"/>
        <w:right w:val="none" w:sz="0" w:space="0" w:color="auto"/>
      </w:divBdr>
    </w:div>
    <w:div w:id="321275981">
      <w:bodyDiv w:val="1"/>
      <w:marLeft w:val="0"/>
      <w:marRight w:val="0"/>
      <w:marTop w:val="0"/>
      <w:marBottom w:val="0"/>
      <w:divBdr>
        <w:top w:val="none" w:sz="0" w:space="0" w:color="auto"/>
        <w:left w:val="none" w:sz="0" w:space="0" w:color="auto"/>
        <w:bottom w:val="none" w:sz="0" w:space="0" w:color="auto"/>
        <w:right w:val="none" w:sz="0" w:space="0" w:color="auto"/>
      </w:divBdr>
    </w:div>
    <w:div w:id="332488491">
      <w:bodyDiv w:val="1"/>
      <w:marLeft w:val="0"/>
      <w:marRight w:val="0"/>
      <w:marTop w:val="0"/>
      <w:marBottom w:val="0"/>
      <w:divBdr>
        <w:top w:val="none" w:sz="0" w:space="0" w:color="auto"/>
        <w:left w:val="none" w:sz="0" w:space="0" w:color="auto"/>
        <w:bottom w:val="none" w:sz="0" w:space="0" w:color="auto"/>
        <w:right w:val="none" w:sz="0" w:space="0" w:color="auto"/>
      </w:divBdr>
    </w:div>
    <w:div w:id="342171248">
      <w:bodyDiv w:val="1"/>
      <w:marLeft w:val="0"/>
      <w:marRight w:val="0"/>
      <w:marTop w:val="0"/>
      <w:marBottom w:val="0"/>
      <w:divBdr>
        <w:top w:val="none" w:sz="0" w:space="0" w:color="auto"/>
        <w:left w:val="none" w:sz="0" w:space="0" w:color="auto"/>
        <w:bottom w:val="none" w:sz="0" w:space="0" w:color="auto"/>
        <w:right w:val="none" w:sz="0" w:space="0" w:color="auto"/>
      </w:divBdr>
    </w:div>
    <w:div w:id="375663760">
      <w:bodyDiv w:val="1"/>
      <w:marLeft w:val="0"/>
      <w:marRight w:val="0"/>
      <w:marTop w:val="0"/>
      <w:marBottom w:val="0"/>
      <w:divBdr>
        <w:top w:val="none" w:sz="0" w:space="0" w:color="auto"/>
        <w:left w:val="none" w:sz="0" w:space="0" w:color="auto"/>
        <w:bottom w:val="none" w:sz="0" w:space="0" w:color="auto"/>
        <w:right w:val="none" w:sz="0" w:space="0" w:color="auto"/>
      </w:divBdr>
    </w:div>
    <w:div w:id="380713655">
      <w:bodyDiv w:val="1"/>
      <w:marLeft w:val="0"/>
      <w:marRight w:val="0"/>
      <w:marTop w:val="0"/>
      <w:marBottom w:val="0"/>
      <w:divBdr>
        <w:top w:val="none" w:sz="0" w:space="0" w:color="auto"/>
        <w:left w:val="none" w:sz="0" w:space="0" w:color="auto"/>
        <w:bottom w:val="none" w:sz="0" w:space="0" w:color="auto"/>
        <w:right w:val="none" w:sz="0" w:space="0" w:color="auto"/>
      </w:divBdr>
    </w:div>
    <w:div w:id="383679389">
      <w:bodyDiv w:val="1"/>
      <w:marLeft w:val="0"/>
      <w:marRight w:val="0"/>
      <w:marTop w:val="0"/>
      <w:marBottom w:val="0"/>
      <w:divBdr>
        <w:top w:val="none" w:sz="0" w:space="0" w:color="auto"/>
        <w:left w:val="none" w:sz="0" w:space="0" w:color="auto"/>
        <w:bottom w:val="none" w:sz="0" w:space="0" w:color="auto"/>
        <w:right w:val="none" w:sz="0" w:space="0" w:color="auto"/>
      </w:divBdr>
    </w:div>
    <w:div w:id="401804763">
      <w:bodyDiv w:val="1"/>
      <w:marLeft w:val="0"/>
      <w:marRight w:val="0"/>
      <w:marTop w:val="0"/>
      <w:marBottom w:val="0"/>
      <w:divBdr>
        <w:top w:val="none" w:sz="0" w:space="0" w:color="auto"/>
        <w:left w:val="none" w:sz="0" w:space="0" w:color="auto"/>
        <w:bottom w:val="none" w:sz="0" w:space="0" w:color="auto"/>
        <w:right w:val="none" w:sz="0" w:space="0" w:color="auto"/>
      </w:divBdr>
    </w:div>
    <w:div w:id="403379001">
      <w:bodyDiv w:val="1"/>
      <w:marLeft w:val="0"/>
      <w:marRight w:val="0"/>
      <w:marTop w:val="0"/>
      <w:marBottom w:val="0"/>
      <w:divBdr>
        <w:top w:val="none" w:sz="0" w:space="0" w:color="auto"/>
        <w:left w:val="none" w:sz="0" w:space="0" w:color="auto"/>
        <w:bottom w:val="none" w:sz="0" w:space="0" w:color="auto"/>
        <w:right w:val="none" w:sz="0" w:space="0" w:color="auto"/>
      </w:divBdr>
      <w:divsChild>
        <w:div w:id="798718191">
          <w:marLeft w:val="0"/>
          <w:marRight w:val="0"/>
          <w:marTop w:val="0"/>
          <w:marBottom w:val="0"/>
          <w:divBdr>
            <w:top w:val="none" w:sz="0" w:space="0" w:color="auto"/>
            <w:left w:val="none" w:sz="0" w:space="0" w:color="auto"/>
            <w:bottom w:val="none" w:sz="0" w:space="0" w:color="auto"/>
            <w:right w:val="none" w:sz="0" w:space="0" w:color="auto"/>
          </w:divBdr>
        </w:div>
      </w:divsChild>
    </w:div>
    <w:div w:id="410127953">
      <w:bodyDiv w:val="1"/>
      <w:marLeft w:val="0"/>
      <w:marRight w:val="0"/>
      <w:marTop w:val="0"/>
      <w:marBottom w:val="0"/>
      <w:divBdr>
        <w:top w:val="none" w:sz="0" w:space="0" w:color="auto"/>
        <w:left w:val="none" w:sz="0" w:space="0" w:color="auto"/>
        <w:bottom w:val="none" w:sz="0" w:space="0" w:color="auto"/>
        <w:right w:val="none" w:sz="0" w:space="0" w:color="auto"/>
      </w:divBdr>
    </w:div>
    <w:div w:id="449518227">
      <w:bodyDiv w:val="1"/>
      <w:marLeft w:val="0"/>
      <w:marRight w:val="0"/>
      <w:marTop w:val="0"/>
      <w:marBottom w:val="0"/>
      <w:divBdr>
        <w:top w:val="none" w:sz="0" w:space="0" w:color="auto"/>
        <w:left w:val="none" w:sz="0" w:space="0" w:color="auto"/>
        <w:bottom w:val="none" w:sz="0" w:space="0" w:color="auto"/>
        <w:right w:val="none" w:sz="0" w:space="0" w:color="auto"/>
      </w:divBdr>
    </w:div>
    <w:div w:id="476579159">
      <w:bodyDiv w:val="1"/>
      <w:marLeft w:val="0"/>
      <w:marRight w:val="0"/>
      <w:marTop w:val="0"/>
      <w:marBottom w:val="0"/>
      <w:divBdr>
        <w:top w:val="none" w:sz="0" w:space="0" w:color="auto"/>
        <w:left w:val="none" w:sz="0" w:space="0" w:color="auto"/>
        <w:bottom w:val="none" w:sz="0" w:space="0" w:color="auto"/>
        <w:right w:val="none" w:sz="0" w:space="0" w:color="auto"/>
      </w:divBdr>
    </w:div>
    <w:div w:id="501895826">
      <w:bodyDiv w:val="1"/>
      <w:marLeft w:val="0"/>
      <w:marRight w:val="0"/>
      <w:marTop w:val="0"/>
      <w:marBottom w:val="0"/>
      <w:divBdr>
        <w:top w:val="none" w:sz="0" w:space="0" w:color="auto"/>
        <w:left w:val="none" w:sz="0" w:space="0" w:color="auto"/>
        <w:bottom w:val="none" w:sz="0" w:space="0" w:color="auto"/>
        <w:right w:val="none" w:sz="0" w:space="0" w:color="auto"/>
      </w:divBdr>
    </w:div>
    <w:div w:id="523175240">
      <w:bodyDiv w:val="1"/>
      <w:marLeft w:val="0"/>
      <w:marRight w:val="0"/>
      <w:marTop w:val="0"/>
      <w:marBottom w:val="0"/>
      <w:divBdr>
        <w:top w:val="none" w:sz="0" w:space="0" w:color="auto"/>
        <w:left w:val="none" w:sz="0" w:space="0" w:color="auto"/>
        <w:bottom w:val="none" w:sz="0" w:space="0" w:color="auto"/>
        <w:right w:val="none" w:sz="0" w:space="0" w:color="auto"/>
      </w:divBdr>
    </w:div>
    <w:div w:id="529270756">
      <w:bodyDiv w:val="1"/>
      <w:marLeft w:val="0"/>
      <w:marRight w:val="0"/>
      <w:marTop w:val="0"/>
      <w:marBottom w:val="0"/>
      <w:divBdr>
        <w:top w:val="none" w:sz="0" w:space="0" w:color="auto"/>
        <w:left w:val="none" w:sz="0" w:space="0" w:color="auto"/>
        <w:bottom w:val="none" w:sz="0" w:space="0" w:color="auto"/>
        <w:right w:val="none" w:sz="0" w:space="0" w:color="auto"/>
      </w:divBdr>
    </w:div>
    <w:div w:id="540478499">
      <w:bodyDiv w:val="1"/>
      <w:marLeft w:val="0"/>
      <w:marRight w:val="0"/>
      <w:marTop w:val="0"/>
      <w:marBottom w:val="0"/>
      <w:divBdr>
        <w:top w:val="none" w:sz="0" w:space="0" w:color="auto"/>
        <w:left w:val="none" w:sz="0" w:space="0" w:color="auto"/>
        <w:bottom w:val="none" w:sz="0" w:space="0" w:color="auto"/>
        <w:right w:val="none" w:sz="0" w:space="0" w:color="auto"/>
      </w:divBdr>
    </w:div>
    <w:div w:id="562835610">
      <w:bodyDiv w:val="1"/>
      <w:marLeft w:val="0"/>
      <w:marRight w:val="0"/>
      <w:marTop w:val="0"/>
      <w:marBottom w:val="0"/>
      <w:divBdr>
        <w:top w:val="none" w:sz="0" w:space="0" w:color="auto"/>
        <w:left w:val="none" w:sz="0" w:space="0" w:color="auto"/>
        <w:bottom w:val="none" w:sz="0" w:space="0" w:color="auto"/>
        <w:right w:val="none" w:sz="0" w:space="0" w:color="auto"/>
      </w:divBdr>
    </w:div>
    <w:div w:id="587427039">
      <w:bodyDiv w:val="1"/>
      <w:marLeft w:val="0"/>
      <w:marRight w:val="0"/>
      <w:marTop w:val="0"/>
      <w:marBottom w:val="0"/>
      <w:divBdr>
        <w:top w:val="none" w:sz="0" w:space="0" w:color="auto"/>
        <w:left w:val="none" w:sz="0" w:space="0" w:color="auto"/>
        <w:bottom w:val="none" w:sz="0" w:space="0" w:color="auto"/>
        <w:right w:val="none" w:sz="0" w:space="0" w:color="auto"/>
      </w:divBdr>
    </w:div>
    <w:div w:id="601107618">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26854476">
      <w:bodyDiv w:val="1"/>
      <w:marLeft w:val="0"/>
      <w:marRight w:val="0"/>
      <w:marTop w:val="0"/>
      <w:marBottom w:val="0"/>
      <w:divBdr>
        <w:top w:val="none" w:sz="0" w:space="0" w:color="auto"/>
        <w:left w:val="none" w:sz="0" w:space="0" w:color="auto"/>
        <w:bottom w:val="none" w:sz="0" w:space="0" w:color="auto"/>
        <w:right w:val="none" w:sz="0" w:space="0" w:color="auto"/>
      </w:divBdr>
    </w:div>
    <w:div w:id="642003822">
      <w:bodyDiv w:val="1"/>
      <w:marLeft w:val="0"/>
      <w:marRight w:val="0"/>
      <w:marTop w:val="0"/>
      <w:marBottom w:val="0"/>
      <w:divBdr>
        <w:top w:val="none" w:sz="0" w:space="0" w:color="auto"/>
        <w:left w:val="none" w:sz="0" w:space="0" w:color="auto"/>
        <w:bottom w:val="none" w:sz="0" w:space="0" w:color="auto"/>
        <w:right w:val="none" w:sz="0" w:space="0" w:color="auto"/>
      </w:divBdr>
    </w:div>
    <w:div w:id="722212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240"/>
          <w:marBottom w:val="300"/>
          <w:divBdr>
            <w:top w:val="single" w:sz="6" w:space="0" w:color="CCCCCC"/>
            <w:left w:val="single" w:sz="6" w:space="0" w:color="CCCCCC"/>
            <w:bottom w:val="single" w:sz="6" w:space="0" w:color="CCCCCC"/>
            <w:right w:val="single" w:sz="6" w:space="0" w:color="CCCCCC"/>
          </w:divBdr>
          <w:divsChild>
            <w:div w:id="44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569">
      <w:bodyDiv w:val="1"/>
      <w:marLeft w:val="0"/>
      <w:marRight w:val="0"/>
      <w:marTop w:val="0"/>
      <w:marBottom w:val="0"/>
      <w:divBdr>
        <w:top w:val="none" w:sz="0" w:space="0" w:color="auto"/>
        <w:left w:val="none" w:sz="0" w:space="0" w:color="auto"/>
        <w:bottom w:val="none" w:sz="0" w:space="0" w:color="auto"/>
        <w:right w:val="none" w:sz="0" w:space="0" w:color="auto"/>
      </w:divBdr>
    </w:div>
    <w:div w:id="798572607">
      <w:bodyDiv w:val="1"/>
      <w:marLeft w:val="0"/>
      <w:marRight w:val="0"/>
      <w:marTop w:val="0"/>
      <w:marBottom w:val="0"/>
      <w:divBdr>
        <w:top w:val="none" w:sz="0" w:space="0" w:color="auto"/>
        <w:left w:val="none" w:sz="0" w:space="0" w:color="auto"/>
        <w:bottom w:val="none" w:sz="0" w:space="0" w:color="auto"/>
        <w:right w:val="none" w:sz="0" w:space="0" w:color="auto"/>
      </w:divBdr>
    </w:div>
    <w:div w:id="823547159">
      <w:bodyDiv w:val="1"/>
      <w:marLeft w:val="0"/>
      <w:marRight w:val="0"/>
      <w:marTop w:val="0"/>
      <w:marBottom w:val="0"/>
      <w:divBdr>
        <w:top w:val="none" w:sz="0" w:space="0" w:color="auto"/>
        <w:left w:val="none" w:sz="0" w:space="0" w:color="auto"/>
        <w:bottom w:val="none" w:sz="0" w:space="0" w:color="auto"/>
        <w:right w:val="none" w:sz="0" w:space="0" w:color="auto"/>
      </w:divBdr>
    </w:div>
    <w:div w:id="824249384">
      <w:bodyDiv w:val="1"/>
      <w:marLeft w:val="0"/>
      <w:marRight w:val="0"/>
      <w:marTop w:val="0"/>
      <w:marBottom w:val="0"/>
      <w:divBdr>
        <w:top w:val="none" w:sz="0" w:space="0" w:color="auto"/>
        <w:left w:val="none" w:sz="0" w:space="0" w:color="auto"/>
        <w:bottom w:val="none" w:sz="0" w:space="0" w:color="auto"/>
        <w:right w:val="none" w:sz="0" w:space="0" w:color="auto"/>
      </w:divBdr>
    </w:div>
    <w:div w:id="862205911">
      <w:bodyDiv w:val="1"/>
      <w:marLeft w:val="0"/>
      <w:marRight w:val="0"/>
      <w:marTop w:val="0"/>
      <w:marBottom w:val="0"/>
      <w:divBdr>
        <w:top w:val="none" w:sz="0" w:space="0" w:color="auto"/>
        <w:left w:val="none" w:sz="0" w:space="0" w:color="auto"/>
        <w:bottom w:val="none" w:sz="0" w:space="0" w:color="auto"/>
        <w:right w:val="none" w:sz="0" w:space="0" w:color="auto"/>
      </w:divBdr>
    </w:div>
    <w:div w:id="870727856">
      <w:bodyDiv w:val="1"/>
      <w:marLeft w:val="0"/>
      <w:marRight w:val="0"/>
      <w:marTop w:val="0"/>
      <w:marBottom w:val="0"/>
      <w:divBdr>
        <w:top w:val="none" w:sz="0" w:space="0" w:color="auto"/>
        <w:left w:val="none" w:sz="0" w:space="0" w:color="auto"/>
        <w:bottom w:val="none" w:sz="0" w:space="0" w:color="auto"/>
        <w:right w:val="none" w:sz="0" w:space="0" w:color="auto"/>
      </w:divBdr>
    </w:div>
    <w:div w:id="902258839">
      <w:bodyDiv w:val="1"/>
      <w:marLeft w:val="0"/>
      <w:marRight w:val="0"/>
      <w:marTop w:val="0"/>
      <w:marBottom w:val="0"/>
      <w:divBdr>
        <w:top w:val="none" w:sz="0" w:space="0" w:color="auto"/>
        <w:left w:val="none" w:sz="0" w:space="0" w:color="auto"/>
        <w:bottom w:val="none" w:sz="0" w:space="0" w:color="auto"/>
        <w:right w:val="none" w:sz="0" w:space="0" w:color="auto"/>
      </w:divBdr>
    </w:div>
    <w:div w:id="977607185">
      <w:bodyDiv w:val="1"/>
      <w:marLeft w:val="0"/>
      <w:marRight w:val="0"/>
      <w:marTop w:val="0"/>
      <w:marBottom w:val="0"/>
      <w:divBdr>
        <w:top w:val="none" w:sz="0" w:space="0" w:color="auto"/>
        <w:left w:val="none" w:sz="0" w:space="0" w:color="auto"/>
        <w:bottom w:val="none" w:sz="0" w:space="0" w:color="auto"/>
        <w:right w:val="none" w:sz="0" w:space="0" w:color="auto"/>
      </w:divBdr>
    </w:div>
    <w:div w:id="998074348">
      <w:bodyDiv w:val="1"/>
      <w:marLeft w:val="0"/>
      <w:marRight w:val="0"/>
      <w:marTop w:val="0"/>
      <w:marBottom w:val="0"/>
      <w:divBdr>
        <w:top w:val="none" w:sz="0" w:space="0" w:color="auto"/>
        <w:left w:val="none" w:sz="0" w:space="0" w:color="auto"/>
        <w:bottom w:val="none" w:sz="0" w:space="0" w:color="auto"/>
        <w:right w:val="none" w:sz="0" w:space="0" w:color="auto"/>
      </w:divBdr>
    </w:div>
    <w:div w:id="1019089665">
      <w:bodyDiv w:val="1"/>
      <w:marLeft w:val="0"/>
      <w:marRight w:val="0"/>
      <w:marTop w:val="0"/>
      <w:marBottom w:val="0"/>
      <w:divBdr>
        <w:top w:val="none" w:sz="0" w:space="0" w:color="auto"/>
        <w:left w:val="none" w:sz="0" w:space="0" w:color="auto"/>
        <w:bottom w:val="none" w:sz="0" w:space="0" w:color="auto"/>
        <w:right w:val="none" w:sz="0" w:space="0" w:color="auto"/>
      </w:divBdr>
    </w:div>
    <w:div w:id="1061905807">
      <w:bodyDiv w:val="1"/>
      <w:marLeft w:val="0"/>
      <w:marRight w:val="0"/>
      <w:marTop w:val="0"/>
      <w:marBottom w:val="0"/>
      <w:divBdr>
        <w:top w:val="none" w:sz="0" w:space="0" w:color="auto"/>
        <w:left w:val="none" w:sz="0" w:space="0" w:color="auto"/>
        <w:bottom w:val="none" w:sz="0" w:space="0" w:color="auto"/>
        <w:right w:val="none" w:sz="0" w:space="0" w:color="auto"/>
      </w:divBdr>
    </w:div>
    <w:div w:id="1089079205">
      <w:bodyDiv w:val="1"/>
      <w:marLeft w:val="0"/>
      <w:marRight w:val="0"/>
      <w:marTop w:val="0"/>
      <w:marBottom w:val="0"/>
      <w:divBdr>
        <w:top w:val="none" w:sz="0" w:space="0" w:color="auto"/>
        <w:left w:val="none" w:sz="0" w:space="0" w:color="auto"/>
        <w:bottom w:val="none" w:sz="0" w:space="0" w:color="auto"/>
        <w:right w:val="none" w:sz="0" w:space="0" w:color="auto"/>
      </w:divBdr>
      <w:divsChild>
        <w:div w:id="553934419">
          <w:marLeft w:val="0"/>
          <w:marRight w:val="0"/>
          <w:marTop w:val="240"/>
          <w:marBottom w:val="300"/>
          <w:divBdr>
            <w:top w:val="single" w:sz="6" w:space="0" w:color="CCCCCC"/>
            <w:left w:val="single" w:sz="6" w:space="0" w:color="CCCCCC"/>
            <w:bottom w:val="single" w:sz="6" w:space="0" w:color="CCCCCC"/>
            <w:right w:val="single" w:sz="6" w:space="0" w:color="CCCCCC"/>
          </w:divBdr>
          <w:divsChild>
            <w:div w:id="1386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0252">
      <w:bodyDiv w:val="1"/>
      <w:marLeft w:val="0"/>
      <w:marRight w:val="0"/>
      <w:marTop w:val="0"/>
      <w:marBottom w:val="0"/>
      <w:divBdr>
        <w:top w:val="none" w:sz="0" w:space="0" w:color="auto"/>
        <w:left w:val="none" w:sz="0" w:space="0" w:color="auto"/>
        <w:bottom w:val="none" w:sz="0" w:space="0" w:color="auto"/>
        <w:right w:val="none" w:sz="0" w:space="0" w:color="auto"/>
      </w:divBdr>
    </w:div>
    <w:div w:id="1166899992">
      <w:bodyDiv w:val="1"/>
      <w:marLeft w:val="0"/>
      <w:marRight w:val="0"/>
      <w:marTop w:val="0"/>
      <w:marBottom w:val="0"/>
      <w:divBdr>
        <w:top w:val="none" w:sz="0" w:space="0" w:color="auto"/>
        <w:left w:val="none" w:sz="0" w:space="0" w:color="auto"/>
        <w:bottom w:val="none" w:sz="0" w:space="0" w:color="auto"/>
        <w:right w:val="none" w:sz="0" w:space="0" w:color="auto"/>
      </w:divBdr>
    </w:div>
    <w:div w:id="1250769898">
      <w:bodyDiv w:val="1"/>
      <w:marLeft w:val="0"/>
      <w:marRight w:val="0"/>
      <w:marTop w:val="0"/>
      <w:marBottom w:val="0"/>
      <w:divBdr>
        <w:top w:val="none" w:sz="0" w:space="0" w:color="auto"/>
        <w:left w:val="none" w:sz="0" w:space="0" w:color="auto"/>
        <w:bottom w:val="none" w:sz="0" w:space="0" w:color="auto"/>
        <w:right w:val="none" w:sz="0" w:space="0" w:color="auto"/>
      </w:divBdr>
    </w:div>
    <w:div w:id="1252810407">
      <w:bodyDiv w:val="1"/>
      <w:marLeft w:val="0"/>
      <w:marRight w:val="0"/>
      <w:marTop w:val="0"/>
      <w:marBottom w:val="0"/>
      <w:divBdr>
        <w:top w:val="none" w:sz="0" w:space="0" w:color="auto"/>
        <w:left w:val="none" w:sz="0" w:space="0" w:color="auto"/>
        <w:bottom w:val="none" w:sz="0" w:space="0" w:color="auto"/>
        <w:right w:val="none" w:sz="0" w:space="0" w:color="auto"/>
      </w:divBdr>
    </w:div>
    <w:div w:id="1263606649">
      <w:bodyDiv w:val="1"/>
      <w:marLeft w:val="0"/>
      <w:marRight w:val="0"/>
      <w:marTop w:val="0"/>
      <w:marBottom w:val="0"/>
      <w:divBdr>
        <w:top w:val="none" w:sz="0" w:space="0" w:color="auto"/>
        <w:left w:val="none" w:sz="0" w:space="0" w:color="auto"/>
        <w:bottom w:val="none" w:sz="0" w:space="0" w:color="auto"/>
        <w:right w:val="none" w:sz="0" w:space="0" w:color="auto"/>
      </w:divBdr>
    </w:div>
    <w:div w:id="1287739572">
      <w:bodyDiv w:val="1"/>
      <w:marLeft w:val="0"/>
      <w:marRight w:val="0"/>
      <w:marTop w:val="0"/>
      <w:marBottom w:val="0"/>
      <w:divBdr>
        <w:top w:val="none" w:sz="0" w:space="0" w:color="auto"/>
        <w:left w:val="none" w:sz="0" w:space="0" w:color="auto"/>
        <w:bottom w:val="none" w:sz="0" w:space="0" w:color="auto"/>
        <w:right w:val="none" w:sz="0" w:space="0" w:color="auto"/>
      </w:divBdr>
    </w:div>
    <w:div w:id="1329285134">
      <w:bodyDiv w:val="1"/>
      <w:marLeft w:val="0"/>
      <w:marRight w:val="0"/>
      <w:marTop w:val="0"/>
      <w:marBottom w:val="0"/>
      <w:divBdr>
        <w:top w:val="none" w:sz="0" w:space="0" w:color="auto"/>
        <w:left w:val="none" w:sz="0" w:space="0" w:color="auto"/>
        <w:bottom w:val="none" w:sz="0" w:space="0" w:color="auto"/>
        <w:right w:val="none" w:sz="0" w:space="0" w:color="auto"/>
      </w:divBdr>
    </w:div>
    <w:div w:id="1343782635">
      <w:bodyDiv w:val="1"/>
      <w:marLeft w:val="0"/>
      <w:marRight w:val="0"/>
      <w:marTop w:val="0"/>
      <w:marBottom w:val="0"/>
      <w:divBdr>
        <w:top w:val="none" w:sz="0" w:space="0" w:color="auto"/>
        <w:left w:val="none" w:sz="0" w:space="0" w:color="auto"/>
        <w:bottom w:val="none" w:sz="0" w:space="0" w:color="auto"/>
        <w:right w:val="none" w:sz="0" w:space="0" w:color="auto"/>
      </w:divBdr>
    </w:div>
    <w:div w:id="1356809745">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417752556">
      <w:bodyDiv w:val="1"/>
      <w:marLeft w:val="0"/>
      <w:marRight w:val="0"/>
      <w:marTop w:val="0"/>
      <w:marBottom w:val="0"/>
      <w:divBdr>
        <w:top w:val="none" w:sz="0" w:space="0" w:color="auto"/>
        <w:left w:val="none" w:sz="0" w:space="0" w:color="auto"/>
        <w:bottom w:val="none" w:sz="0" w:space="0" w:color="auto"/>
        <w:right w:val="none" w:sz="0" w:space="0" w:color="auto"/>
      </w:divBdr>
    </w:div>
    <w:div w:id="1422796425">
      <w:bodyDiv w:val="1"/>
      <w:marLeft w:val="0"/>
      <w:marRight w:val="0"/>
      <w:marTop w:val="0"/>
      <w:marBottom w:val="0"/>
      <w:divBdr>
        <w:top w:val="none" w:sz="0" w:space="0" w:color="auto"/>
        <w:left w:val="none" w:sz="0" w:space="0" w:color="auto"/>
        <w:bottom w:val="none" w:sz="0" w:space="0" w:color="auto"/>
        <w:right w:val="none" w:sz="0" w:space="0" w:color="auto"/>
      </w:divBdr>
    </w:div>
    <w:div w:id="1429886044">
      <w:bodyDiv w:val="1"/>
      <w:marLeft w:val="0"/>
      <w:marRight w:val="0"/>
      <w:marTop w:val="0"/>
      <w:marBottom w:val="0"/>
      <w:divBdr>
        <w:top w:val="none" w:sz="0" w:space="0" w:color="auto"/>
        <w:left w:val="none" w:sz="0" w:space="0" w:color="auto"/>
        <w:bottom w:val="none" w:sz="0" w:space="0" w:color="auto"/>
        <w:right w:val="none" w:sz="0" w:space="0" w:color="auto"/>
      </w:divBdr>
    </w:div>
    <w:div w:id="1445074399">
      <w:bodyDiv w:val="1"/>
      <w:marLeft w:val="0"/>
      <w:marRight w:val="0"/>
      <w:marTop w:val="0"/>
      <w:marBottom w:val="0"/>
      <w:divBdr>
        <w:top w:val="none" w:sz="0" w:space="0" w:color="auto"/>
        <w:left w:val="none" w:sz="0" w:space="0" w:color="auto"/>
        <w:bottom w:val="none" w:sz="0" w:space="0" w:color="auto"/>
        <w:right w:val="none" w:sz="0" w:space="0" w:color="auto"/>
      </w:divBdr>
    </w:div>
    <w:div w:id="1466006950">
      <w:bodyDiv w:val="1"/>
      <w:marLeft w:val="0"/>
      <w:marRight w:val="0"/>
      <w:marTop w:val="0"/>
      <w:marBottom w:val="0"/>
      <w:divBdr>
        <w:top w:val="none" w:sz="0" w:space="0" w:color="auto"/>
        <w:left w:val="none" w:sz="0" w:space="0" w:color="auto"/>
        <w:bottom w:val="none" w:sz="0" w:space="0" w:color="auto"/>
        <w:right w:val="none" w:sz="0" w:space="0" w:color="auto"/>
      </w:divBdr>
    </w:div>
    <w:div w:id="1504971585">
      <w:bodyDiv w:val="1"/>
      <w:marLeft w:val="0"/>
      <w:marRight w:val="0"/>
      <w:marTop w:val="0"/>
      <w:marBottom w:val="0"/>
      <w:divBdr>
        <w:top w:val="none" w:sz="0" w:space="0" w:color="auto"/>
        <w:left w:val="none" w:sz="0" w:space="0" w:color="auto"/>
        <w:bottom w:val="none" w:sz="0" w:space="0" w:color="auto"/>
        <w:right w:val="none" w:sz="0" w:space="0" w:color="auto"/>
      </w:divBdr>
    </w:div>
    <w:div w:id="1506282671">
      <w:bodyDiv w:val="1"/>
      <w:marLeft w:val="0"/>
      <w:marRight w:val="0"/>
      <w:marTop w:val="0"/>
      <w:marBottom w:val="0"/>
      <w:divBdr>
        <w:top w:val="none" w:sz="0" w:space="0" w:color="auto"/>
        <w:left w:val="none" w:sz="0" w:space="0" w:color="auto"/>
        <w:bottom w:val="none" w:sz="0" w:space="0" w:color="auto"/>
        <w:right w:val="none" w:sz="0" w:space="0" w:color="auto"/>
      </w:divBdr>
    </w:div>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 w:id="1560555784">
      <w:bodyDiv w:val="1"/>
      <w:marLeft w:val="0"/>
      <w:marRight w:val="0"/>
      <w:marTop w:val="0"/>
      <w:marBottom w:val="0"/>
      <w:divBdr>
        <w:top w:val="none" w:sz="0" w:space="0" w:color="auto"/>
        <w:left w:val="none" w:sz="0" w:space="0" w:color="auto"/>
        <w:bottom w:val="none" w:sz="0" w:space="0" w:color="auto"/>
        <w:right w:val="none" w:sz="0" w:space="0" w:color="auto"/>
      </w:divBdr>
    </w:div>
    <w:div w:id="1655835914">
      <w:bodyDiv w:val="1"/>
      <w:marLeft w:val="0"/>
      <w:marRight w:val="0"/>
      <w:marTop w:val="0"/>
      <w:marBottom w:val="0"/>
      <w:divBdr>
        <w:top w:val="none" w:sz="0" w:space="0" w:color="auto"/>
        <w:left w:val="none" w:sz="0" w:space="0" w:color="auto"/>
        <w:bottom w:val="none" w:sz="0" w:space="0" w:color="auto"/>
        <w:right w:val="none" w:sz="0" w:space="0" w:color="auto"/>
      </w:divBdr>
    </w:div>
    <w:div w:id="1711371909">
      <w:bodyDiv w:val="1"/>
      <w:marLeft w:val="0"/>
      <w:marRight w:val="0"/>
      <w:marTop w:val="0"/>
      <w:marBottom w:val="0"/>
      <w:divBdr>
        <w:top w:val="none" w:sz="0" w:space="0" w:color="auto"/>
        <w:left w:val="none" w:sz="0" w:space="0" w:color="auto"/>
        <w:bottom w:val="none" w:sz="0" w:space="0" w:color="auto"/>
        <w:right w:val="none" w:sz="0" w:space="0" w:color="auto"/>
      </w:divBdr>
    </w:div>
    <w:div w:id="1723093554">
      <w:bodyDiv w:val="1"/>
      <w:marLeft w:val="0"/>
      <w:marRight w:val="0"/>
      <w:marTop w:val="0"/>
      <w:marBottom w:val="0"/>
      <w:divBdr>
        <w:top w:val="none" w:sz="0" w:space="0" w:color="auto"/>
        <w:left w:val="none" w:sz="0" w:space="0" w:color="auto"/>
        <w:bottom w:val="none" w:sz="0" w:space="0" w:color="auto"/>
        <w:right w:val="none" w:sz="0" w:space="0" w:color="auto"/>
      </w:divBdr>
    </w:div>
    <w:div w:id="1741828376">
      <w:bodyDiv w:val="1"/>
      <w:marLeft w:val="0"/>
      <w:marRight w:val="0"/>
      <w:marTop w:val="0"/>
      <w:marBottom w:val="0"/>
      <w:divBdr>
        <w:top w:val="none" w:sz="0" w:space="0" w:color="auto"/>
        <w:left w:val="none" w:sz="0" w:space="0" w:color="auto"/>
        <w:bottom w:val="none" w:sz="0" w:space="0" w:color="auto"/>
        <w:right w:val="none" w:sz="0" w:space="0" w:color="auto"/>
      </w:divBdr>
    </w:div>
    <w:div w:id="1768766714">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 w:id="1788886756">
      <w:bodyDiv w:val="1"/>
      <w:marLeft w:val="0"/>
      <w:marRight w:val="0"/>
      <w:marTop w:val="0"/>
      <w:marBottom w:val="0"/>
      <w:divBdr>
        <w:top w:val="none" w:sz="0" w:space="0" w:color="auto"/>
        <w:left w:val="none" w:sz="0" w:space="0" w:color="auto"/>
        <w:bottom w:val="none" w:sz="0" w:space="0" w:color="auto"/>
        <w:right w:val="none" w:sz="0" w:space="0" w:color="auto"/>
      </w:divBdr>
    </w:div>
    <w:div w:id="1797986640">
      <w:bodyDiv w:val="1"/>
      <w:marLeft w:val="0"/>
      <w:marRight w:val="0"/>
      <w:marTop w:val="0"/>
      <w:marBottom w:val="0"/>
      <w:divBdr>
        <w:top w:val="none" w:sz="0" w:space="0" w:color="auto"/>
        <w:left w:val="none" w:sz="0" w:space="0" w:color="auto"/>
        <w:bottom w:val="none" w:sz="0" w:space="0" w:color="auto"/>
        <w:right w:val="none" w:sz="0" w:space="0" w:color="auto"/>
      </w:divBdr>
    </w:div>
    <w:div w:id="1847092910">
      <w:bodyDiv w:val="1"/>
      <w:marLeft w:val="0"/>
      <w:marRight w:val="0"/>
      <w:marTop w:val="0"/>
      <w:marBottom w:val="0"/>
      <w:divBdr>
        <w:top w:val="none" w:sz="0" w:space="0" w:color="auto"/>
        <w:left w:val="none" w:sz="0" w:space="0" w:color="auto"/>
        <w:bottom w:val="none" w:sz="0" w:space="0" w:color="auto"/>
        <w:right w:val="none" w:sz="0" w:space="0" w:color="auto"/>
      </w:divBdr>
    </w:div>
    <w:div w:id="1850869555">
      <w:bodyDiv w:val="1"/>
      <w:marLeft w:val="0"/>
      <w:marRight w:val="0"/>
      <w:marTop w:val="0"/>
      <w:marBottom w:val="0"/>
      <w:divBdr>
        <w:top w:val="none" w:sz="0" w:space="0" w:color="auto"/>
        <w:left w:val="none" w:sz="0" w:space="0" w:color="auto"/>
        <w:bottom w:val="none" w:sz="0" w:space="0" w:color="auto"/>
        <w:right w:val="none" w:sz="0" w:space="0" w:color="auto"/>
      </w:divBdr>
    </w:div>
    <w:div w:id="1895433686">
      <w:bodyDiv w:val="1"/>
      <w:marLeft w:val="0"/>
      <w:marRight w:val="0"/>
      <w:marTop w:val="0"/>
      <w:marBottom w:val="0"/>
      <w:divBdr>
        <w:top w:val="none" w:sz="0" w:space="0" w:color="auto"/>
        <w:left w:val="none" w:sz="0" w:space="0" w:color="auto"/>
        <w:bottom w:val="none" w:sz="0" w:space="0" w:color="auto"/>
        <w:right w:val="none" w:sz="0" w:space="0" w:color="auto"/>
      </w:divBdr>
    </w:div>
    <w:div w:id="1925869200">
      <w:bodyDiv w:val="1"/>
      <w:marLeft w:val="0"/>
      <w:marRight w:val="0"/>
      <w:marTop w:val="0"/>
      <w:marBottom w:val="0"/>
      <w:divBdr>
        <w:top w:val="none" w:sz="0" w:space="0" w:color="auto"/>
        <w:left w:val="none" w:sz="0" w:space="0" w:color="auto"/>
        <w:bottom w:val="none" w:sz="0" w:space="0" w:color="auto"/>
        <w:right w:val="none" w:sz="0" w:space="0" w:color="auto"/>
      </w:divBdr>
    </w:div>
    <w:div w:id="1927152402">
      <w:bodyDiv w:val="1"/>
      <w:marLeft w:val="0"/>
      <w:marRight w:val="0"/>
      <w:marTop w:val="0"/>
      <w:marBottom w:val="0"/>
      <w:divBdr>
        <w:top w:val="none" w:sz="0" w:space="0" w:color="auto"/>
        <w:left w:val="none" w:sz="0" w:space="0" w:color="auto"/>
        <w:bottom w:val="none" w:sz="0" w:space="0" w:color="auto"/>
        <w:right w:val="none" w:sz="0" w:space="0" w:color="auto"/>
      </w:divBdr>
    </w:div>
    <w:div w:id="1969969706">
      <w:bodyDiv w:val="1"/>
      <w:marLeft w:val="0"/>
      <w:marRight w:val="0"/>
      <w:marTop w:val="0"/>
      <w:marBottom w:val="0"/>
      <w:divBdr>
        <w:top w:val="none" w:sz="0" w:space="0" w:color="auto"/>
        <w:left w:val="none" w:sz="0" w:space="0" w:color="auto"/>
        <w:bottom w:val="none" w:sz="0" w:space="0" w:color="auto"/>
        <w:right w:val="none" w:sz="0" w:space="0" w:color="auto"/>
      </w:divBdr>
    </w:div>
    <w:div w:id="1990669737">
      <w:bodyDiv w:val="1"/>
      <w:marLeft w:val="0"/>
      <w:marRight w:val="0"/>
      <w:marTop w:val="0"/>
      <w:marBottom w:val="0"/>
      <w:divBdr>
        <w:top w:val="none" w:sz="0" w:space="0" w:color="auto"/>
        <w:left w:val="none" w:sz="0" w:space="0" w:color="auto"/>
        <w:bottom w:val="none" w:sz="0" w:space="0" w:color="auto"/>
        <w:right w:val="none" w:sz="0" w:space="0" w:color="auto"/>
      </w:divBdr>
    </w:div>
    <w:div w:id="1993949098">
      <w:bodyDiv w:val="1"/>
      <w:marLeft w:val="0"/>
      <w:marRight w:val="0"/>
      <w:marTop w:val="0"/>
      <w:marBottom w:val="0"/>
      <w:divBdr>
        <w:top w:val="none" w:sz="0" w:space="0" w:color="auto"/>
        <w:left w:val="none" w:sz="0" w:space="0" w:color="auto"/>
        <w:bottom w:val="none" w:sz="0" w:space="0" w:color="auto"/>
        <w:right w:val="none" w:sz="0" w:space="0" w:color="auto"/>
      </w:divBdr>
    </w:div>
    <w:div w:id="1998729446">
      <w:bodyDiv w:val="1"/>
      <w:marLeft w:val="0"/>
      <w:marRight w:val="0"/>
      <w:marTop w:val="0"/>
      <w:marBottom w:val="0"/>
      <w:divBdr>
        <w:top w:val="none" w:sz="0" w:space="0" w:color="auto"/>
        <w:left w:val="none" w:sz="0" w:space="0" w:color="auto"/>
        <w:bottom w:val="none" w:sz="0" w:space="0" w:color="auto"/>
        <w:right w:val="none" w:sz="0" w:space="0" w:color="auto"/>
      </w:divBdr>
    </w:div>
    <w:div w:id="2100709147">
      <w:bodyDiv w:val="1"/>
      <w:marLeft w:val="0"/>
      <w:marRight w:val="0"/>
      <w:marTop w:val="0"/>
      <w:marBottom w:val="0"/>
      <w:divBdr>
        <w:top w:val="none" w:sz="0" w:space="0" w:color="auto"/>
        <w:left w:val="none" w:sz="0" w:space="0" w:color="auto"/>
        <w:bottom w:val="none" w:sz="0" w:space="0" w:color="auto"/>
        <w:right w:val="none" w:sz="0" w:space="0" w:color="auto"/>
      </w:divBdr>
    </w:div>
    <w:div w:id="210784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cen.gov/nprm-fact-sheet" TargetMode="External"/><Relationship Id="rId18" Type="http://schemas.openxmlformats.org/officeDocument/2006/relationships/hyperlink" Target="http://www.consumerfinance.gov/policy-compliance/rulemaking/final-rules/home-mortgage-disclosure-regulation-c-adjustment-asset-size-exemption-threshold/" TargetMode="External"/><Relationship Id="rId26" Type="http://schemas.openxmlformats.org/officeDocument/2006/relationships/hyperlink" Target="https://www.federalreserve.gov/newsevents/pressreleases/bcreg20221216a.htm" TargetMode="External"/><Relationship Id="rId39" Type="http://schemas.openxmlformats.org/officeDocument/2006/relationships/hyperlink" Target="https://www.federalregister.gov/documents/2022/12/16/2022-27031/beneficial-ownership-information-access-and-safeguards-and-use-of-fincen-identifiers-for-entities" TargetMode="External"/><Relationship Id="rId21" Type="http://schemas.openxmlformats.org/officeDocument/2006/relationships/hyperlink" Target="https://www.consumerfinance.gov/rules-policy/final-rules/" TargetMode="External"/><Relationship Id="rId34" Type="http://schemas.openxmlformats.org/officeDocument/2006/relationships/hyperlink" Target="https://www.occ.gov/publications-and-resources/publications/mortgage-metrics-reports/files/pub-mortgage-metrics-q3-202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ic.gov/news/board-matters/2022/2022-12-13-notice-dis-b-fr.pdf" TargetMode="External"/><Relationship Id="rId20" Type="http://schemas.openxmlformats.org/officeDocument/2006/relationships/hyperlink" Target="http://www.consumerfinance.gov/rules-policy/final-rules/civil-penalty-inflation-annual-adjustments/" TargetMode="External"/><Relationship Id="rId29" Type="http://schemas.openxmlformats.org/officeDocument/2006/relationships/hyperlink" Target="https://www.fdic.gov/news/press-releases/2022/pr22086a.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s.org/newsroom/csbs-statement-fdic-board-appointees" TargetMode="External"/><Relationship Id="rId24" Type="http://schemas.openxmlformats.org/officeDocument/2006/relationships/hyperlink" Target="https://www.fdic.gov/news/press-releases/2022/pr22089.html" TargetMode="External"/><Relationship Id="rId32" Type="http://schemas.openxmlformats.org/officeDocument/2006/relationships/hyperlink" Target="http://www.consumerfinance.gov/learnmore" TargetMode="External"/><Relationship Id="rId37" Type="http://schemas.openxmlformats.org/officeDocument/2006/relationships/hyperlink" Target="https://msrc.microsoft.com/update-guide/releaseNote/2022-De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dic.gov/news/press-releases/2022/pr22085.html" TargetMode="External"/><Relationship Id="rId23" Type="http://schemas.openxmlformats.org/officeDocument/2006/relationships/hyperlink" Target="https://www.federalreserve.gov/data/scoos.htm" TargetMode="External"/><Relationship Id="rId28" Type="http://schemas.openxmlformats.org/officeDocument/2006/relationships/hyperlink" Target="https://www.fdic.gov/news/press-releases/2022/pr22086.html" TargetMode="External"/><Relationship Id="rId36" Type="http://schemas.openxmlformats.org/officeDocument/2006/relationships/hyperlink" Target="https://support.apple.com/en-us/HT201222" TargetMode="External"/><Relationship Id="rId10" Type="http://schemas.openxmlformats.org/officeDocument/2006/relationships/hyperlink" Target="https://www.federalreserve.gov/newsevents/pressreleases/bcreg20221221a.htm" TargetMode="External"/><Relationship Id="rId19" Type="http://schemas.openxmlformats.org/officeDocument/2006/relationships/hyperlink" Target="http://www.consumerfinance.gov/policy-compliance/rulemaking/final-rules/truth-lending-act-regulation-z-adjustment-asset-size-exemption-threshold/" TargetMode="External"/><Relationship Id="rId31" Type="http://schemas.openxmlformats.org/officeDocument/2006/relationships/hyperlink" Target="http://www.federalregister.gov/documents/2022/12/16/2022-27324/notice-of-availability-of-revised-consumer-information-publication" TargetMode="External"/><Relationship Id="rId4" Type="http://schemas.openxmlformats.org/officeDocument/2006/relationships/settings" Target="settings.xml"/><Relationship Id="rId9" Type="http://schemas.openxmlformats.org/officeDocument/2006/relationships/hyperlink" Target="https://www.fdic.gov/news/financial-institution-letters/2022/fil22054.html?source=govdelivery&amp;utm_medium=email&amp;utm_source=govdelivery" TargetMode="External"/><Relationship Id="rId14" Type="http://schemas.openxmlformats.org/officeDocument/2006/relationships/hyperlink" Target="https://www.dob.texas.gov/applications-forms-publications/supervisory-update-news-summary" TargetMode="External"/><Relationship Id="rId22" Type="http://schemas.openxmlformats.org/officeDocument/2006/relationships/hyperlink" Target="https://www.consumerfinance.gov/policy-compliance/rulemaking/final-rules/truth-lending-regulation-z-annual-threshold-adjustments-card-act-hoepa/" TargetMode="External"/><Relationship Id="rId27" Type="http://schemas.openxmlformats.org/officeDocument/2006/relationships/hyperlink" Target="https://www.occ.gov/news-issuances/bulletins/2022/bulletin-2022-26.html" TargetMode="External"/><Relationship Id="rId30" Type="http://schemas.openxmlformats.org/officeDocument/2006/relationships/hyperlink" Target="https://www.federalregister.gov/documents/2022/12/16/2022-27324/notice-of-availability-of-revised-consumer-information-publication/" TargetMode="External"/><Relationship Id="rId35" Type="http://schemas.openxmlformats.org/officeDocument/2006/relationships/hyperlink" Target="https://www.cisa.gov/uscert/ncas/current-activity?page=1" TargetMode="External"/><Relationship Id="rId8" Type="http://schemas.openxmlformats.org/officeDocument/2006/relationships/hyperlink" Target="https://www.consumerfinance.gov/rules-policy/final-rules/hmda-reg-c-judicial-vacatur-of-coverage-threshold-for-closed-end-mortgage-loans/" TargetMode="External"/><Relationship Id="rId3" Type="http://schemas.openxmlformats.org/officeDocument/2006/relationships/styles" Target="styles.xml"/><Relationship Id="rId12" Type="http://schemas.openxmlformats.org/officeDocument/2006/relationships/hyperlink" Target="https://www.fincen.gov/news/news-releases/fincen-issues-notice-proposed-rulemaking-regarding-access-beneficial-ownership" TargetMode="External"/><Relationship Id="rId17" Type="http://schemas.openxmlformats.org/officeDocument/2006/relationships/hyperlink" Target="https://www.consumerfinance.gov/rules-policy/final-rules/" TargetMode="External"/><Relationship Id="rId25" Type="http://schemas.openxmlformats.org/officeDocument/2006/relationships/hyperlink" Target="https://www.fdic.gov/news/press-releases/2022/pr22089a.pdf" TargetMode="External"/><Relationship Id="rId33" Type="http://schemas.openxmlformats.org/officeDocument/2006/relationships/hyperlink" Target="https://www.occ.gov/news-issuances/news-releases/2022/nr-occ-2022-151.html" TargetMode="External"/><Relationship Id="rId38" Type="http://schemas.openxmlformats.org/officeDocument/2006/relationships/hyperlink" Target="https://www.federalreserve.gov/newsevents/pressreleases/files/other20221104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53EC-1E0D-45A0-8451-AD6A22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Greavu</dc:creator>
  <cp:keywords/>
  <dc:description/>
  <cp:lastModifiedBy>CBW Mail</cp:lastModifiedBy>
  <cp:revision>2</cp:revision>
  <cp:lastPrinted>2022-08-01T14:33:00Z</cp:lastPrinted>
  <dcterms:created xsi:type="dcterms:W3CDTF">2023-01-05T02:09:00Z</dcterms:created>
  <dcterms:modified xsi:type="dcterms:W3CDTF">2023-01-05T02:09:00Z</dcterms:modified>
</cp:coreProperties>
</file>