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3A62" w14:textId="5BD02E92" w:rsidR="001D488F" w:rsidRPr="001E0B8E" w:rsidRDefault="00AC1F42" w:rsidP="000015D0">
      <w:pPr>
        <w:jc w:val="center"/>
        <w:rPr>
          <w:b/>
          <w:bCs/>
          <w:strike/>
          <w:color w:val="29588C"/>
          <w:sz w:val="40"/>
          <w:szCs w:val="40"/>
        </w:rPr>
      </w:pPr>
      <w:r w:rsidRPr="00643516">
        <w:rPr>
          <w:b/>
          <w:bCs/>
          <w:color w:val="002060"/>
          <w:sz w:val="40"/>
          <w:szCs w:val="40"/>
        </w:rPr>
        <w:t>Re</w:t>
      </w:r>
      <w:r w:rsidR="001D488F" w:rsidRPr="00643516">
        <w:rPr>
          <w:b/>
          <w:bCs/>
          <w:color w:val="002060"/>
          <w:sz w:val="40"/>
          <w:szCs w:val="40"/>
        </w:rPr>
        <w:t xml:space="preserve">gulatory </w:t>
      </w:r>
      <w:r w:rsidR="001D488F" w:rsidRPr="0032610A">
        <w:rPr>
          <w:b/>
          <w:bCs/>
          <w:color w:val="002060"/>
          <w:sz w:val="40"/>
          <w:szCs w:val="40"/>
        </w:rPr>
        <w:t>Dispatch</w:t>
      </w:r>
    </w:p>
    <w:p w14:paraId="593C85A7" w14:textId="77777777" w:rsidR="001D2E7A" w:rsidRPr="00D038B1" w:rsidRDefault="001D2E7A" w:rsidP="000015D0">
      <w:pPr>
        <w:jc w:val="center"/>
        <w:rPr>
          <w:b/>
          <w:bCs/>
          <w:i/>
          <w:iCs/>
        </w:rPr>
      </w:pPr>
      <w:r w:rsidRPr="00D038B1">
        <w:rPr>
          <w:b/>
          <w:bCs/>
          <w:i/>
          <w:iCs/>
        </w:rPr>
        <w:t xml:space="preserve">Timely news and resources community bankers can use </w:t>
      </w:r>
    </w:p>
    <w:p w14:paraId="782C57B3" w14:textId="11A4B40F" w:rsidR="001D488F" w:rsidRDefault="001D2E7A" w:rsidP="00291837">
      <w:pPr>
        <w:jc w:val="center"/>
        <w:rPr>
          <w:b/>
          <w:bCs/>
          <w:i/>
          <w:iCs/>
        </w:rPr>
      </w:pPr>
      <w:r w:rsidRPr="00D038B1">
        <w:rPr>
          <w:b/>
          <w:bCs/>
          <w:i/>
          <w:iCs/>
        </w:rPr>
        <w:t>to better stay on top of a rapidly changing world.</w:t>
      </w:r>
    </w:p>
    <w:p w14:paraId="222A749C" w14:textId="594515C5" w:rsidR="00291837" w:rsidRPr="001E0B8E" w:rsidRDefault="00291837" w:rsidP="008D4A1D">
      <w:pPr>
        <w:spacing w:after="0" w:line="240" w:lineRule="auto"/>
        <w:rPr>
          <w:rFonts w:ascii="Calibri" w:eastAsia="Times New Roman" w:hAnsi="Calibri" w:cs="Calibri"/>
        </w:rPr>
      </w:pPr>
      <w:bookmarkStart w:id="0" w:name="_Hlk80258260"/>
      <w:bookmarkStart w:id="1" w:name="_Hlk83204901"/>
      <w:bookmarkStart w:id="2" w:name="_Hlk79564040"/>
      <w:bookmarkStart w:id="3" w:name="_Hlk81988823"/>
    </w:p>
    <w:p w14:paraId="540424E4" w14:textId="6C5CD9D6" w:rsidR="00494CF2" w:rsidRDefault="00E1074E" w:rsidP="00494CF2">
      <w:pPr>
        <w:rPr>
          <w:rFonts w:cstheme="minorHAnsi"/>
          <w:b/>
          <w:bCs/>
          <w:sz w:val="28"/>
          <w:szCs w:val="28"/>
        </w:rPr>
      </w:pPr>
      <w:bookmarkStart w:id="4" w:name="_Hlk83806435"/>
      <w:bookmarkStart w:id="5" w:name="_Hlk84405847"/>
      <w:bookmarkStart w:id="6" w:name="_Hlk85004969"/>
      <w:bookmarkStart w:id="7" w:name="_Hlk86221722"/>
      <w:bookmarkStart w:id="8" w:name="_Hlk87422987"/>
      <w:bookmarkStart w:id="9" w:name="_Hlk118437976"/>
      <w:bookmarkStart w:id="10" w:name="_Hlk116453118"/>
      <w:bookmarkStart w:id="11" w:name="_Hlk90457423"/>
      <w:r>
        <w:rPr>
          <w:rFonts w:cstheme="minorHAnsi"/>
          <w:b/>
          <w:bCs/>
          <w:sz w:val="28"/>
          <w:szCs w:val="28"/>
        </w:rPr>
        <w:t xml:space="preserve">CFPB </w:t>
      </w:r>
      <w:r w:rsidRPr="00E1074E">
        <w:rPr>
          <w:rFonts w:cstheme="minorHAnsi"/>
          <w:b/>
          <w:bCs/>
          <w:sz w:val="28"/>
          <w:szCs w:val="28"/>
        </w:rPr>
        <w:t xml:space="preserve">Elder </w:t>
      </w:r>
      <w:r>
        <w:rPr>
          <w:rFonts w:cstheme="minorHAnsi"/>
          <w:b/>
          <w:bCs/>
          <w:sz w:val="28"/>
          <w:szCs w:val="28"/>
        </w:rPr>
        <w:t>F</w:t>
      </w:r>
      <w:r w:rsidRPr="00E1074E">
        <w:rPr>
          <w:rFonts w:cstheme="minorHAnsi"/>
          <w:b/>
          <w:bCs/>
          <w:sz w:val="28"/>
          <w:szCs w:val="28"/>
        </w:rPr>
        <w:t xml:space="preserve">raud </w:t>
      </w:r>
      <w:r>
        <w:rPr>
          <w:rFonts w:cstheme="minorHAnsi"/>
          <w:b/>
          <w:bCs/>
          <w:sz w:val="28"/>
          <w:szCs w:val="28"/>
        </w:rPr>
        <w:t>W</w:t>
      </w:r>
      <w:r w:rsidRPr="00E1074E">
        <w:rPr>
          <w:rFonts w:cstheme="minorHAnsi"/>
          <w:b/>
          <w:bCs/>
          <w:sz w:val="28"/>
          <w:szCs w:val="28"/>
        </w:rPr>
        <w:t xml:space="preserve">ebinar </w:t>
      </w:r>
      <w:r>
        <w:rPr>
          <w:rFonts w:cstheme="minorHAnsi"/>
          <w:b/>
          <w:bCs/>
          <w:sz w:val="28"/>
          <w:szCs w:val="28"/>
        </w:rPr>
        <w:t>S</w:t>
      </w:r>
      <w:r w:rsidRPr="00E1074E">
        <w:rPr>
          <w:rFonts w:cstheme="minorHAnsi"/>
          <w:b/>
          <w:bCs/>
          <w:sz w:val="28"/>
          <w:szCs w:val="28"/>
        </w:rPr>
        <w:t>eries</w:t>
      </w:r>
    </w:p>
    <w:p w14:paraId="7CB914A5" w14:textId="77777777" w:rsidR="00E1074E" w:rsidRPr="00E1074E" w:rsidRDefault="00E1074E" w:rsidP="00E1074E">
      <w:pPr>
        <w:spacing w:before="300" w:after="300" w:line="240" w:lineRule="auto"/>
        <w:rPr>
          <w:rFonts w:ascii="Arial" w:eastAsia="Calibri" w:hAnsi="Arial" w:cs="Arial"/>
          <w:color w:val="101820"/>
          <w:sz w:val="24"/>
          <w:szCs w:val="24"/>
        </w:rPr>
      </w:pPr>
      <w:r w:rsidRPr="00E1074E">
        <w:rPr>
          <w:rFonts w:ascii="Arial" w:eastAsia="Calibri" w:hAnsi="Arial" w:cs="Arial"/>
          <w:color w:val="101820"/>
          <w:sz w:val="24"/>
          <w:szCs w:val="24"/>
        </w:rPr>
        <w:t>Join the Consumer Financial Protection Bureau (CFPB) on five Wednesdays in February and March 2023 for webinars on approaches to combatting elder financial exploitation.</w:t>
      </w:r>
    </w:p>
    <w:p w14:paraId="6359F992" w14:textId="77777777" w:rsidR="00E1074E" w:rsidRPr="00E1074E" w:rsidRDefault="00E1074E" w:rsidP="00E1074E">
      <w:pPr>
        <w:spacing w:before="300" w:after="300" w:line="240" w:lineRule="auto"/>
        <w:rPr>
          <w:rFonts w:ascii="Arial" w:eastAsia="Calibri" w:hAnsi="Arial" w:cs="Arial"/>
          <w:color w:val="101820"/>
          <w:sz w:val="24"/>
          <w:szCs w:val="24"/>
        </w:rPr>
      </w:pPr>
      <w:r w:rsidRPr="00E1074E">
        <w:rPr>
          <w:rFonts w:ascii="Arial" w:eastAsia="Calibri" w:hAnsi="Arial" w:cs="Arial"/>
          <w:color w:val="101820"/>
          <w:sz w:val="24"/>
          <w:szCs w:val="24"/>
        </w:rPr>
        <w:t xml:space="preserve">The series will be moderated by </w:t>
      </w:r>
      <w:proofErr w:type="spellStart"/>
      <w:r w:rsidRPr="00E1074E">
        <w:rPr>
          <w:rFonts w:ascii="Arial" w:eastAsia="Calibri" w:hAnsi="Arial" w:cs="Arial"/>
          <w:color w:val="101820"/>
          <w:sz w:val="24"/>
          <w:szCs w:val="24"/>
        </w:rPr>
        <w:t>Jenefer</w:t>
      </w:r>
      <w:proofErr w:type="spellEnd"/>
      <w:r w:rsidRPr="00E1074E">
        <w:rPr>
          <w:rFonts w:ascii="Arial" w:eastAsia="Calibri" w:hAnsi="Arial" w:cs="Arial"/>
          <w:color w:val="101820"/>
          <w:sz w:val="24"/>
          <w:szCs w:val="24"/>
        </w:rPr>
        <w:t xml:space="preserve"> Duane from the CFPB’s Office for Older Americans and veteran elder abuse prosecutor, Paul Greenwood.</w:t>
      </w:r>
    </w:p>
    <w:p w14:paraId="0DC84B28" w14:textId="77777777" w:rsidR="00E1074E" w:rsidRPr="00E1074E" w:rsidRDefault="00000000" w:rsidP="00E1074E">
      <w:pPr>
        <w:spacing w:before="300" w:after="300" w:line="240" w:lineRule="auto"/>
        <w:rPr>
          <w:rFonts w:ascii="Arial" w:eastAsia="Calibri" w:hAnsi="Arial" w:cs="Arial"/>
          <w:color w:val="101820"/>
          <w:sz w:val="24"/>
          <w:szCs w:val="24"/>
        </w:rPr>
      </w:pPr>
      <w:hyperlink r:id="rId8" w:history="1">
        <w:r w:rsidR="00E1074E" w:rsidRPr="00E1074E">
          <w:rPr>
            <w:rFonts w:ascii="Arial" w:eastAsia="Calibri" w:hAnsi="Arial" w:cs="Arial"/>
            <w:b/>
            <w:bCs/>
            <w:color w:val="0071CD"/>
            <w:sz w:val="24"/>
            <w:szCs w:val="24"/>
            <w:u w:val="single"/>
          </w:rPr>
          <w:t>Register now</w:t>
        </w:r>
      </w:hyperlink>
      <w:r w:rsidR="00E1074E" w:rsidRPr="00E1074E">
        <w:rPr>
          <w:rFonts w:ascii="Arial" w:eastAsia="Calibri" w:hAnsi="Arial" w:cs="Arial"/>
          <w:color w:val="101820"/>
          <w:sz w:val="24"/>
          <w:szCs w:val="24"/>
        </w:rPr>
        <w:t>! Attend one or all sessions. The series includes:</w:t>
      </w:r>
    </w:p>
    <w:p w14:paraId="57F7ED56" w14:textId="77777777" w:rsidR="00E1074E" w:rsidRPr="00E1074E" w:rsidRDefault="00E1074E" w:rsidP="00B84C0E">
      <w:pPr>
        <w:numPr>
          <w:ilvl w:val="0"/>
          <w:numId w:val="2"/>
        </w:numPr>
        <w:spacing w:before="100" w:beforeAutospacing="1" w:after="105" w:line="240" w:lineRule="auto"/>
        <w:rPr>
          <w:rFonts w:ascii="Arial" w:eastAsia="Times New Roman" w:hAnsi="Arial" w:cs="Arial"/>
          <w:color w:val="101820"/>
          <w:sz w:val="24"/>
          <w:szCs w:val="24"/>
        </w:rPr>
      </w:pPr>
      <w:r w:rsidRPr="00E1074E">
        <w:rPr>
          <w:rFonts w:ascii="Arial" w:eastAsia="Times New Roman" w:hAnsi="Arial" w:cs="Arial"/>
          <w:b/>
          <w:bCs/>
          <w:color w:val="101820"/>
          <w:sz w:val="24"/>
          <w:szCs w:val="24"/>
        </w:rPr>
        <w:t xml:space="preserve">New Resources for Elder Fraud Prevention and Response Networks | February 1, 2:00 – 3:00 ET. </w:t>
      </w:r>
      <w:r w:rsidRPr="00E1074E">
        <w:rPr>
          <w:rFonts w:ascii="Arial" w:eastAsia="Times New Roman" w:hAnsi="Arial" w:cs="Arial"/>
          <w:color w:val="101820"/>
          <w:sz w:val="24"/>
          <w:szCs w:val="24"/>
        </w:rPr>
        <w:t xml:space="preserve">Elder financial exploitation threatens the financial security of millions of older Americans annually. Learn about newly updated CFPB resources for elder fraud prevention and response networks – including an expanded CFPB report on the network collaboration and a streamlined online </w:t>
      </w:r>
      <w:hyperlink r:id="rId9" w:history="1">
        <w:r w:rsidRPr="00E1074E">
          <w:rPr>
            <w:rFonts w:ascii="Arial" w:eastAsia="Times New Roman" w:hAnsi="Arial" w:cs="Arial"/>
            <w:color w:val="0071CD"/>
            <w:sz w:val="24"/>
            <w:szCs w:val="24"/>
            <w:u w:val="single"/>
          </w:rPr>
          <w:t>Network Development Guide</w:t>
        </w:r>
      </w:hyperlink>
      <w:r w:rsidRPr="00E1074E">
        <w:rPr>
          <w:rFonts w:ascii="Arial" w:eastAsia="Times New Roman" w:hAnsi="Arial" w:cs="Arial"/>
          <w:color w:val="101820"/>
          <w:sz w:val="24"/>
          <w:szCs w:val="24"/>
        </w:rPr>
        <w:t>.</w:t>
      </w:r>
    </w:p>
    <w:p w14:paraId="5D58D1BC" w14:textId="77777777" w:rsidR="00E1074E" w:rsidRPr="00E1074E" w:rsidRDefault="00E1074E" w:rsidP="00B84C0E">
      <w:pPr>
        <w:numPr>
          <w:ilvl w:val="0"/>
          <w:numId w:val="2"/>
        </w:numPr>
        <w:spacing w:before="100" w:beforeAutospacing="1" w:after="105" w:line="240" w:lineRule="auto"/>
        <w:rPr>
          <w:rFonts w:ascii="Arial" w:eastAsia="Times New Roman" w:hAnsi="Arial" w:cs="Arial"/>
          <w:color w:val="101820"/>
          <w:sz w:val="24"/>
          <w:szCs w:val="24"/>
        </w:rPr>
      </w:pPr>
      <w:r w:rsidRPr="00E1074E">
        <w:rPr>
          <w:rFonts w:ascii="Arial" w:eastAsia="Times New Roman" w:hAnsi="Arial" w:cs="Arial"/>
          <w:b/>
          <w:bCs/>
          <w:color w:val="101820"/>
          <w:sz w:val="24"/>
          <w:szCs w:val="24"/>
        </w:rPr>
        <w:t xml:space="preserve">Promising Practices from Successful Elder Fraud Prevention and Response Networks </w:t>
      </w:r>
    </w:p>
    <w:p w14:paraId="3372FCCE" w14:textId="77777777" w:rsidR="00E1074E" w:rsidRPr="00E1074E" w:rsidRDefault="00E1074E" w:rsidP="00B84C0E">
      <w:pPr>
        <w:numPr>
          <w:ilvl w:val="1"/>
          <w:numId w:val="2"/>
        </w:numPr>
        <w:spacing w:before="100" w:beforeAutospacing="1" w:after="105" w:line="240" w:lineRule="auto"/>
        <w:rPr>
          <w:rFonts w:ascii="Arial" w:eastAsia="Times New Roman" w:hAnsi="Arial" w:cs="Arial"/>
          <w:color w:val="101820"/>
          <w:sz w:val="24"/>
          <w:szCs w:val="24"/>
        </w:rPr>
      </w:pPr>
      <w:r w:rsidRPr="00E1074E">
        <w:rPr>
          <w:rFonts w:ascii="Arial" w:eastAsia="Times New Roman" w:hAnsi="Arial" w:cs="Arial"/>
          <w:b/>
          <w:bCs/>
          <w:color w:val="101820"/>
          <w:sz w:val="24"/>
          <w:szCs w:val="24"/>
        </w:rPr>
        <w:t>Part 1, featuring network leaders in Michigan and South Carolina | February 8, 2:00-3:30 ET.</w:t>
      </w:r>
      <w:r w:rsidRPr="00E1074E">
        <w:rPr>
          <w:rFonts w:ascii="Arial" w:eastAsia="Times New Roman" w:hAnsi="Arial" w:cs="Arial"/>
          <w:color w:val="101820"/>
          <w:sz w:val="24"/>
          <w:szCs w:val="24"/>
        </w:rPr>
        <w:t xml:space="preserve"> Learn about strategies for funding elder justice networks, how networks can provide training across disciplines, and more. A special guest presentation will highlight funding available from the Department of Justice for elder justice networks.</w:t>
      </w:r>
    </w:p>
    <w:p w14:paraId="5D5926B4" w14:textId="77777777" w:rsidR="00E1074E" w:rsidRPr="00E1074E" w:rsidRDefault="00E1074E" w:rsidP="00B84C0E">
      <w:pPr>
        <w:numPr>
          <w:ilvl w:val="1"/>
          <w:numId w:val="2"/>
        </w:numPr>
        <w:spacing w:before="100" w:beforeAutospacing="1" w:after="105" w:line="240" w:lineRule="auto"/>
        <w:rPr>
          <w:rFonts w:ascii="Arial" w:eastAsia="Times New Roman" w:hAnsi="Arial" w:cs="Arial"/>
          <w:color w:val="101820"/>
          <w:sz w:val="24"/>
          <w:szCs w:val="24"/>
        </w:rPr>
      </w:pPr>
      <w:r w:rsidRPr="00E1074E">
        <w:rPr>
          <w:rFonts w:ascii="Arial" w:eastAsia="Times New Roman" w:hAnsi="Arial" w:cs="Arial"/>
          <w:b/>
          <w:bCs/>
          <w:color w:val="101820"/>
          <w:sz w:val="24"/>
          <w:szCs w:val="24"/>
        </w:rPr>
        <w:t>Part 2, featuring network leaders in Hawaii and Florida | February 15, 2:00-3:30 ET.</w:t>
      </w:r>
      <w:r w:rsidRPr="00E1074E">
        <w:rPr>
          <w:rFonts w:ascii="Arial" w:eastAsia="Times New Roman" w:hAnsi="Arial" w:cs="Arial"/>
          <w:color w:val="101820"/>
          <w:sz w:val="24"/>
          <w:szCs w:val="24"/>
        </w:rPr>
        <w:t xml:space="preserve"> Learn how state-level elder justice networks can effectively support locally based sub-networks, how networks can coordinate with the payments industry to spot and respond to exploitation, and more.</w:t>
      </w:r>
    </w:p>
    <w:p w14:paraId="402EA640" w14:textId="77777777" w:rsidR="00E1074E" w:rsidRPr="00E1074E" w:rsidRDefault="00E1074E" w:rsidP="00B84C0E">
      <w:pPr>
        <w:numPr>
          <w:ilvl w:val="0"/>
          <w:numId w:val="3"/>
        </w:numPr>
        <w:spacing w:before="100" w:beforeAutospacing="1" w:after="105" w:line="240" w:lineRule="auto"/>
        <w:rPr>
          <w:rFonts w:ascii="Arial" w:eastAsia="Times New Roman" w:hAnsi="Arial" w:cs="Arial"/>
          <w:color w:val="101820"/>
          <w:sz w:val="24"/>
          <w:szCs w:val="24"/>
        </w:rPr>
      </w:pPr>
      <w:r w:rsidRPr="00E1074E">
        <w:rPr>
          <w:rFonts w:ascii="Arial" w:eastAsia="Times New Roman" w:hAnsi="Arial" w:cs="Arial"/>
          <w:b/>
          <w:bCs/>
          <w:color w:val="101820"/>
          <w:sz w:val="24"/>
          <w:szCs w:val="24"/>
        </w:rPr>
        <w:t xml:space="preserve">Recovering from Elder Financial Exploitation | February 22, 2:00 – 3:00 ET. </w:t>
      </w:r>
      <w:r w:rsidRPr="00E1074E">
        <w:rPr>
          <w:rFonts w:ascii="Arial" w:eastAsia="Times New Roman" w:hAnsi="Arial" w:cs="Arial"/>
          <w:color w:val="101820"/>
          <w:sz w:val="24"/>
          <w:szCs w:val="24"/>
        </w:rPr>
        <w:t xml:space="preserve">Learn about the </w:t>
      </w:r>
      <w:hyperlink r:id="rId10" w:history="1">
        <w:r w:rsidRPr="00E1074E">
          <w:rPr>
            <w:rFonts w:ascii="Arial" w:eastAsia="Times New Roman" w:hAnsi="Arial" w:cs="Arial"/>
            <w:color w:val="0071CD"/>
            <w:sz w:val="24"/>
            <w:szCs w:val="24"/>
            <w:u w:val="single"/>
          </w:rPr>
          <w:t>Recovering from Elder Financial Exploitation report</w:t>
        </w:r>
      </w:hyperlink>
      <w:r w:rsidRPr="00E1074E">
        <w:rPr>
          <w:rFonts w:ascii="Arial" w:eastAsia="Times New Roman" w:hAnsi="Arial" w:cs="Arial"/>
          <w:color w:val="101820"/>
          <w:sz w:val="24"/>
          <w:szCs w:val="24"/>
        </w:rPr>
        <w:t>, a financial recovery framework explaining how and when older adults get money back after financial exploitation. Topics include identifying, reporting, and investigating elder fraud and returning funds to victims.</w:t>
      </w:r>
    </w:p>
    <w:p w14:paraId="2E59B557" w14:textId="58ACBD70" w:rsidR="00494CF2" w:rsidRPr="00494CF2" w:rsidRDefault="00E1074E" w:rsidP="00E1074E">
      <w:pPr>
        <w:rPr>
          <w:rFonts w:cstheme="minorHAnsi"/>
          <w:sz w:val="24"/>
          <w:szCs w:val="24"/>
        </w:rPr>
      </w:pPr>
      <w:r w:rsidRPr="00E1074E">
        <w:rPr>
          <w:rFonts w:ascii="Arial" w:eastAsia="Times New Roman" w:hAnsi="Arial" w:cs="Arial"/>
          <w:b/>
          <w:bCs/>
          <w:color w:val="101820"/>
          <w:sz w:val="24"/>
          <w:szCs w:val="24"/>
        </w:rPr>
        <w:t xml:space="preserve">Money Smart for Older Adults | March 1, 2:00 – 3:30 ET. </w:t>
      </w:r>
      <w:r w:rsidRPr="00E1074E">
        <w:rPr>
          <w:rFonts w:ascii="Arial" w:eastAsia="Times New Roman" w:hAnsi="Arial" w:cs="Arial"/>
          <w:color w:val="101820"/>
          <w:sz w:val="24"/>
          <w:szCs w:val="24"/>
        </w:rPr>
        <w:t xml:space="preserve">Learn how to use </w:t>
      </w:r>
      <w:hyperlink r:id="rId11" w:history="1">
        <w:r w:rsidRPr="00E1074E">
          <w:rPr>
            <w:rFonts w:ascii="Arial" w:eastAsia="Times New Roman" w:hAnsi="Arial" w:cs="Arial"/>
            <w:color w:val="0071CD"/>
            <w:sz w:val="24"/>
            <w:szCs w:val="24"/>
            <w:u w:val="single"/>
          </w:rPr>
          <w:t>Money Smart for Older Adults</w:t>
        </w:r>
      </w:hyperlink>
      <w:r w:rsidRPr="00E1074E">
        <w:rPr>
          <w:rFonts w:ascii="Arial" w:eastAsia="Times New Roman" w:hAnsi="Arial" w:cs="Arial"/>
          <w:color w:val="101820"/>
          <w:sz w:val="24"/>
          <w:szCs w:val="24"/>
        </w:rPr>
        <w:t xml:space="preserve"> instructor-led curriculum and resources. A joint program of CFPB </w:t>
      </w:r>
      <w:r w:rsidRPr="00E1074E">
        <w:rPr>
          <w:rFonts w:ascii="Arial" w:eastAsia="Times New Roman" w:hAnsi="Arial" w:cs="Arial"/>
          <w:color w:val="101820"/>
          <w:sz w:val="24"/>
          <w:szCs w:val="24"/>
        </w:rPr>
        <w:lastRenderedPageBreak/>
        <w:t>and the Federal Deposit Insurance Corporation (FDIC), Money Smart for Older Adults can be adapted in a variety of ways.</w:t>
      </w:r>
    </w:p>
    <w:p w14:paraId="277E6CDA" w14:textId="4E8ECA5C" w:rsidR="00494CF2" w:rsidRPr="00494CF2" w:rsidRDefault="00494CF2" w:rsidP="00494CF2">
      <w:pPr>
        <w:rPr>
          <w:rFonts w:cstheme="minorHAnsi"/>
          <w:b/>
          <w:bCs/>
          <w:i/>
          <w:iCs/>
          <w:color w:val="002060"/>
          <w:sz w:val="24"/>
          <w:szCs w:val="24"/>
        </w:rPr>
      </w:pPr>
      <w:r w:rsidRPr="00494CF2">
        <w:rPr>
          <w:rFonts w:cstheme="minorHAnsi"/>
          <w:b/>
          <w:bCs/>
          <w:i/>
          <w:iCs/>
          <w:color w:val="002060"/>
          <w:sz w:val="24"/>
          <w:szCs w:val="24"/>
        </w:rPr>
        <w:t xml:space="preserve">Comment: </w:t>
      </w:r>
      <w:r w:rsidR="008C3450" w:rsidRPr="008C3450">
        <w:rPr>
          <w:rFonts w:cstheme="minorHAnsi"/>
          <w:b/>
          <w:bCs/>
          <w:i/>
          <w:iCs/>
          <w:color w:val="002060"/>
          <w:sz w:val="24"/>
          <w:szCs w:val="24"/>
        </w:rPr>
        <w:t xml:space="preserve">Roughly 20 percent of older Americans fall prey to financial exploitation totaling $3 billion annually or an average of $120,000 per elderly victim, according to a </w:t>
      </w:r>
      <w:r w:rsidR="008C3450">
        <w:rPr>
          <w:rFonts w:cstheme="minorHAnsi"/>
          <w:b/>
          <w:bCs/>
          <w:i/>
          <w:iCs/>
          <w:color w:val="002060"/>
          <w:sz w:val="24"/>
          <w:szCs w:val="24"/>
        </w:rPr>
        <w:t xml:space="preserve">2021 </w:t>
      </w:r>
      <w:r w:rsidR="008C3450" w:rsidRPr="008C3450">
        <w:rPr>
          <w:rFonts w:cstheme="minorHAnsi"/>
          <w:b/>
          <w:bCs/>
          <w:i/>
          <w:iCs/>
          <w:color w:val="002060"/>
          <w:sz w:val="24"/>
          <w:szCs w:val="24"/>
        </w:rPr>
        <w:t>study from the AARP Public Policy Institute.</w:t>
      </w:r>
      <w:r w:rsidR="008C3450">
        <w:rPr>
          <w:rFonts w:cstheme="minorHAnsi"/>
          <w:b/>
          <w:bCs/>
          <w:i/>
          <w:iCs/>
          <w:color w:val="002060"/>
          <w:sz w:val="24"/>
          <w:szCs w:val="24"/>
        </w:rPr>
        <w:t xml:space="preserve">  Remember that Texas is a mandatory reporting state when a bank has a reasonable basis to believe elder abuse or financial exploitation is occurring.  </w:t>
      </w:r>
    </w:p>
    <w:p w14:paraId="3E438A5C" w14:textId="77777777" w:rsidR="002078B2" w:rsidRPr="002078B2" w:rsidRDefault="002078B2" w:rsidP="00971DC0">
      <w:pPr>
        <w:spacing w:after="0" w:line="240" w:lineRule="auto"/>
        <w:rPr>
          <w:rFonts w:cstheme="minorHAnsi"/>
          <w:color w:val="000000" w:themeColor="text1"/>
        </w:rPr>
      </w:pPr>
    </w:p>
    <w:p w14:paraId="293F838C" w14:textId="77777777" w:rsidR="00861A50" w:rsidRPr="00861A50" w:rsidRDefault="00861A50" w:rsidP="00470F65">
      <w:pPr>
        <w:spacing w:after="0" w:line="240" w:lineRule="auto"/>
        <w:rPr>
          <w:rFonts w:ascii="Calibri" w:eastAsia="Calibri" w:hAnsi="Calibri" w:cs="Calibri"/>
          <w:color w:val="000000"/>
        </w:rPr>
      </w:pPr>
      <w:bookmarkStart w:id="12" w:name="_Hlk107990454"/>
      <w:bookmarkStart w:id="13" w:name="_Hlk109197871"/>
      <w:bookmarkStart w:id="14" w:name="_Hlk117665203"/>
      <w:bookmarkStart w:id="15" w:name="_Hlk118873733"/>
      <w:bookmarkStart w:id="16" w:name="_Hlk120083518"/>
      <w:bookmarkStart w:id="17" w:name="_Hlk121294347"/>
      <w:bookmarkStart w:id="18" w:name="_Hlk120691315"/>
      <w:bookmarkStart w:id="19" w:name="_Hlk118105449"/>
      <w:bookmarkStart w:id="20" w:name="_Hlk100735248"/>
      <w:bookmarkStart w:id="21" w:name="_Hlk92872848"/>
      <w:bookmarkStart w:id="22" w:name="_Hlk81984412"/>
      <w:bookmarkEnd w:id="0"/>
      <w:bookmarkEnd w:id="1"/>
      <w:bookmarkEnd w:id="4"/>
      <w:bookmarkEnd w:id="5"/>
      <w:bookmarkEnd w:id="6"/>
      <w:bookmarkEnd w:id="7"/>
      <w:bookmarkEnd w:id="8"/>
      <w:bookmarkEnd w:id="9"/>
      <w:r w:rsidRPr="00861A50">
        <w:rPr>
          <w:rFonts w:ascii="Verdana" w:eastAsia="Calibri" w:hAnsi="Verdana" w:cs="Calibri"/>
          <w:b/>
          <w:bCs/>
          <w:color w:val="002060"/>
          <w:sz w:val="28"/>
          <w:szCs w:val="28"/>
        </w:rPr>
        <w:t>IBAT Insights (Ask IBAT Anything)</w:t>
      </w:r>
      <w:r w:rsidRPr="00861A50">
        <w:rPr>
          <w:rFonts w:ascii="Calibri" w:eastAsia="Calibri" w:hAnsi="Calibri" w:cs="Calibri"/>
          <w:color w:val="002060"/>
        </w:rPr>
        <w:t xml:space="preserve"> </w:t>
      </w:r>
      <w:bookmarkEnd w:id="12"/>
      <w:bookmarkEnd w:id="13"/>
    </w:p>
    <w:p w14:paraId="04A65A9E" w14:textId="77777777" w:rsidR="00861A50" w:rsidRPr="00861A50" w:rsidRDefault="00861A50" w:rsidP="00861A50">
      <w:pPr>
        <w:spacing w:after="0" w:line="240" w:lineRule="auto"/>
        <w:rPr>
          <w:rFonts w:ascii="Calibri" w:eastAsia="Calibri" w:hAnsi="Calibri" w:cs="Calibri"/>
          <w:color w:val="000000"/>
        </w:rPr>
      </w:pPr>
    </w:p>
    <w:bookmarkEnd w:id="10"/>
    <w:bookmarkEnd w:id="14"/>
    <w:bookmarkEnd w:id="15"/>
    <w:p w14:paraId="5C83F4AE" w14:textId="063E227D" w:rsidR="00FB4D15" w:rsidRDefault="005B5271" w:rsidP="00FB4D15">
      <w:pPr>
        <w:spacing w:after="0" w:line="240" w:lineRule="auto"/>
        <w:rPr>
          <w:rFonts w:ascii="Calibri" w:eastAsia="Calibri" w:hAnsi="Calibri" w:cs="Calibri"/>
          <w:color w:val="000000"/>
        </w:rPr>
      </w:pPr>
      <w:r w:rsidRPr="005B5271">
        <w:rPr>
          <w:rFonts w:ascii="Calibri" w:eastAsia="Calibri" w:hAnsi="Calibri" w:cs="Calibri"/>
          <w:color w:val="000000"/>
        </w:rPr>
        <w:t>Q. Currently we provide Credit Denial Notice and ECOA Notice at the time of application for commercial loans.  Both disclosures are on our commercial loan application.  Is that permitted?</w:t>
      </w:r>
    </w:p>
    <w:p w14:paraId="18BDCDAF" w14:textId="77777777" w:rsidR="005B5271" w:rsidRPr="00DD2BFD" w:rsidRDefault="005B5271" w:rsidP="00FB4D15">
      <w:pPr>
        <w:spacing w:after="0" w:line="240" w:lineRule="auto"/>
        <w:rPr>
          <w:rFonts w:ascii="Calibri" w:eastAsia="Calibri" w:hAnsi="Calibri" w:cs="Calibri"/>
          <w:color w:val="000000"/>
        </w:rPr>
      </w:pPr>
    </w:p>
    <w:p w14:paraId="47B01DB8" w14:textId="1CFADFB2" w:rsidR="00847498" w:rsidRPr="00847498" w:rsidRDefault="00DD2BFD" w:rsidP="00955387">
      <w:pPr>
        <w:spacing w:after="0" w:line="240" w:lineRule="auto"/>
        <w:rPr>
          <w:rFonts w:ascii="Calibri" w:eastAsia="Calibri" w:hAnsi="Calibri" w:cs="Calibri"/>
          <w:color w:val="000000"/>
        </w:rPr>
      </w:pPr>
      <w:r w:rsidRPr="00DD2BFD">
        <w:rPr>
          <w:rFonts w:ascii="Calibri" w:eastAsia="Calibri" w:hAnsi="Calibri" w:cs="Calibri"/>
          <w:color w:val="000000"/>
        </w:rPr>
        <w:t>A.</w:t>
      </w:r>
      <w:bookmarkEnd w:id="16"/>
      <w:r w:rsidR="00847498" w:rsidRPr="00847498">
        <w:rPr>
          <w:rFonts w:ascii="Calibri" w:eastAsia="Calibri" w:hAnsi="Calibri" w:cs="Calibri"/>
          <w:color w:val="000000"/>
        </w:rPr>
        <w:t xml:space="preserve"> </w:t>
      </w:r>
      <w:r w:rsidR="00E4458B">
        <w:rPr>
          <w:rFonts w:ascii="Calibri" w:eastAsia="Calibri" w:hAnsi="Calibri" w:cs="Calibri"/>
          <w:color w:val="000000"/>
        </w:rPr>
        <w:t xml:space="preserve">That is a problem unless the applicant gets to keep a copy of the application- which they rarely do.  The general rules at §1002.4, with some exceptions, is that the ‘disclosures and information’ required under Regulation B must be provided in a form the applicant can </w:t>
      </w:r>
      <w:r w:rsidR="00002D2E">
        <w:rPr>
          <w:rFonts w:ascii="Calibri" w:eastAsia="Calibri" w:hAnsi="Calibri" w:cs="Calibri"/>
          <w:color w:val="000000"/>
        </w:rPr>
        <w:t>retain</w:t>
      </w:r>
      <w:r w:rsidR="00E4458B">
        <w:rPr>
          <w:rFonts w:ascii="Calibri" w:eastAsia="Calibri" w:hAnsi="Calibri" w:cs="Calibri"/>
          <w:color w:val="000000"/>
        </w:rPr>
        <w:t>.</w:t>
      </w:r>
    </w:p>
    <w:p w14:paraId="4A70F802" w14:textId="77777777" w:rsidR="00847498" w:rsidRPr="00847498" w:rsidRDefault="00847498" w:rsidP="00847498">
      <w:pPr>
        <w:spacing w:after="0" w:line="240" w:lineRule="auto"/>
        <w:rPr>
          <w:rFonts w:ascii="Calibri" w:eastAsia="Calibri" w:hAnsi="Calibri" w:cs="Calibri"/>
          <w:color w:val="000000"/>
        </w:rPr>
      </w:pPr>
    </w:p>
    <w:p w14:paraId="6AE733B3" w14:textId="77777777" w:rsidR="00847498" w:rsidRPr="00847498" w:rsidRDefault="00847498" w:rsidP="00847498">
      <w:pPr>
        <w:spacing w:after="0" w:line="240" w:lineRule="auto"/>
        <w:rPr>
          <w:rFonts w:ascii="Calibri" w:eastAsia="Calibri" w:hAnsi="Calibri" w:cs="Calibri"/>
          <w:color w:val="000000"/>
        </w:rPr>
      </w:pPr>
      <w:r w:rsidRPr="00847498">
        <w:rPr>
          <w:rFonts w:ascii="Calibri" w:eastAsia="Calibri" w:hAnsi="Calibri" w:cs="Calibri"/>
          <w:color w:val="000000"/>
        </w:rPr>
        <w:t>…snip</w:t>
      </w:r>
    </w:p>
    <w:p w14:paraId="42B7451A" w14:textId="77777777" w:rsidR="00847498" w:rsidRPr="00847498" w:rsidRDefault="00847498" w:rsidP="00847498">
      <w:pPr>
        <w:spacing w:after="0" w:line="240" w:lineRule="auto"/>
        <w:rPr>
          <w:rFonts w:ascii="Calibri" w:eastAsia="Calibri" w:hAnsi="Calibri" w:cs="Calibri"/>
          <w:color w:val="000000"/>
        </w:rPr>
      </w:pPr>
    </w:p>
    <w:bookmarkEnd w:id="17"/>
    <w:p w14:paraId="2F4126EB" w14:textId="75E15B35" w:rsidR="003F30E7" w:rsidRDefault="00FB4D15" w:rsidP="00EF1C9A">
      <w:pPr>
        <w:spacing w:after="0" w:line="240" w:lineRule="auto"/>
        <w:rPr>
          <w:rFonts w:ascii="Calibri" w:eastAsia="Calibri" w:hAnsi="Calibri" w:cs="Calibri"/>
          <w:i/>
          <w:iCs/>
          <w:color w:val="000000"/>
        </w:rPr>
      </w:pPr>
      <w:r w:rsidRPr="00FB4D15">
        <w:rPr>
          <w:rFonts w:ascii="Calibri" w:eastAsia="Calibri" w:hAnsi="Calibri" w:cs="Calibri"/>
          <w:i/>
          <w:iCs/>
          <w:color w:val="000000"/>
        </w:rPr>
        <w:t xml:space="preserve">(1) General rule. A creditor that provides in writing any disclosures or information required by this part must provide the disclosures in a clear and conspicuous manner and, except for the disclosures required by §§ 1002.5 and 1002.13, </w:t>
      </w:r>
      <w:r w:rsidRPr="00FB4D15">
        <w:rPr>
          <w:rFonts w:ascii="Calibri" w:eastAsia="Calibri" w:hAnsi="Calibri" w:cs="Calibri"/>
          <w:i/>
          <w:iCs/>
          <w:color w:val="000000"/>
          <w:u w:val="single"/>
        </w:rPr>
        <w:t>in a form the applicant may retain</w:t>
      </w:r>
      <w:r w:rsidRPr="00FB4D15">
        <w:rPr>
          <w:rFonts w:ascii="Calibri" w:eastAsia="Calibri" w:hAnsi="Calibri" w:cs="Calibri"/>
          <w:i/>
          <w:iCs/>
          <w:color w:val="000000"/>
        </w:rPr>
        <w:t>.</w:t>
      </w:r>
    </w:p>
    <w:p w14:paraId="6174E508" w14:textId="77777777" w:rsidR="00FB4D15" w:rsidRDefault="00FB4D15" w:rsidP="00EF1C9A">
      <w:pPr>
        <w:spacing w:after="0" w:line="240" w:lineRule="auto"/>
        <w:rPr>
          <w:rFonts w:ascii="Calibri" w:eastAsia="Calibri" w:hAnsi="Calibri" w:cs="Calibri"/>
          <w:i/>
          <w:iCs/>
          <w:color w:val="000000"/>
        </w:rPr>
      </w:pPr>
    </w:p>
    <w:p w14:paraId="6209E430" w14:textId="732F6FC9" w:rsidR="003F30E7" w:rsidRDefault="003F30E7" w:rsidP="00EF1C9A">
      <w:pPr>
        <w:spacing w:after="0" w:line="240" w:lineRule="auto"/>
        <w:rPr>
          <w:rFonts w:ascii="Calibri" w:eastAsia="Calibri" w:hAnsi="Calibri" w:cs="Calibri"/>
          <w:color w:val="000000"/>
        </w:rPr>
      </w:pPr>
      <w:r w:rsidRPr="003F30E7">
        <w:rPr>
          <w:rFonts w:ascii="Calibri" w:eastAsia="Calibri" w:hAnsi="Calibri" w:cs="Calibri"/>
          <w:color w:val="000000"/>
        </w:rPr>
        <w:t xml:space="preserve">Source </w:t>
      </w:r>
      <w:hyperlink r:id="rId12" w:anchor="d-1" w:history="1">
        <w:r w:rsidRPr="003F30E7">
          <w:rPr>
            <w:rStyle w:val="Hyperlink"/>
            <w:rFonts w:ascii="Calibri" w:eastAsia="Calibri" w:hAnsi="Calibri" w:cs="Calibri"/>
          </w:rPr>
          <w:t>link</w:t>
        </w:r>
      </w:hyperlink>
      <w:r w:rsidRPr="003F30E7">
        <w:rPr>
          <w:rFonts w:ascii="Calibri" w:eastAsia="Calibri" w:hAnsi="Calibri" w:cs="Calibri"/>
          <w:color w:val="000000"/>
        </w:rPr>
        <w:t xml:space="preserve">. </w:t>
      </w:r>
    </w:p>
    <w:p w14:paraId="7DE07657" w14:textId="2728DF6B" w:rsidR="00E4458B" w:rsidRDefault="00E4458B" w:rsidP="00EF1C9A">
      <w:pPr>
        <w:spacing w:after="0" w:line="240" w:lineRule="auto"/>
        <w:rPr>
          <w:rFonts w:ascii="Calibri" w:eastAsia="Calibri" w:hAnsi="Calibri" w:cs="Calibri"/>
          <w:color w:val="000000"/>
        </w:rPr>
      </w:pPr>
    </w:p>
    <w:p w14:paraId="660FD06E" w14:textId="77EA0D24" w:rsidR="00E4458B" w:rsidRPr="003F30E7" w:rsidRDefault="00E4458B" w:rsidP="00EF1C9A">
      <w:pPr>
        <w:spacing w:after="0" w:line="240" w:lineRule="auto"/>
        <w:rPr>
          <w:rFonts w:ascii="Calibri" w:eastAsia="Calibri" w:hAnsi="Calibri" w:cs="Calibri"/>
          <w:color w:val="000000"/>
        </w:rPr>
      </w:pPr>
      <w:r>
        <w:rPr>
          <w:rFonts w:ascii="Calibri" w:eastAsia="Calibri" w:hAnsi="Calibri" w:cs="Calibri"/>
          <w:color w:val="000000"/>
        </w:rPr>
        <w:t xml:space="preserve">Unless </w:t>
      </w:r>
      <w:r w:rsidR="008C3450">
        <w:rPr>
          <w:rFonts w:ascii="Calibri" w:eastAsia="Calibri" w:hAnsi="Calibri" w:cs="Calibri"/>
          <w:color w:val="000000"/>
        </w:rPr>
        <w:t>the applicant</w:t>
      </w:r>
      <w:r>
        <w:rPr>
          <w:rFonts w:ascii="Calibri" w:eastAsia="Calibri" w:hAnsi="Calibri" w:cs="Calibri"/>
          <w:color w:val="000000"/>
        </w:rPr>
        <w:t xml:space="preserve"> keep</w:t>
      </w:r>
      <w:r w:rsidR="008C3450">
        <w:rPr>
          <w:rFonts w:ascii="Calibri" w:eastAsia="Calibri" w:hAnsi="Calibri" w:cs="Calibri"/>
          <w:color w:val="000000"/>
        </w:rPr>
        <w:t>s</w:t>
      </w:r>
      <w:r>
        <w:rPr>
          <w:rFonts w:ascii="Calibri" w:eastAsia="Calibri" w:hAnsi="Calibri" w:cs="Calibri"/>
          <w:color w:val="000000"/>
        </w:rPr>
        <w:t xml:space="preserve"> a copy of the </w:t>
      </w:r>
      <w:r w:rsidR="00002D2E" w:rsidRPr="00002D2E">
        <w:rPr>
          <w:rFonts w:ascii="Calibri" w:eastAsia="Calibri" w:hAnsi="Calibri" w:cs="Calibri"/>
          <w:color w:val="000000"/>
        </w:rPr>
        <w:t>application</w:t>
      </w:r>
      <w:r>
        <w:rPr>
          <w:rFonts w:ascii="Calibri" w:eastAsia="Calibri" w:hAnsi="Calibri" w:cs="Calibri"/>
          <w:color w:val="000000"/>
        </w:rPr>
        <w:t>, or the notice is on a page that can be removed, the applicant does not have the ECOA notice</w:t>
      </w:r>
      <w:r w:rsidR="005B5271">
        <w:rPr>
          <w:rFonts w:ascii="Calibri" w:eastAsia="Calibri" w:hAnsi="Calibri" w:cs="Calibri"/>
          <w:color w:val="000000"/>
        </w:rPr>
        <w:t xml:space="preserve"> required by §1002.9(b)(1)</w:t>
      </w:r>
      <w:r>
        <w:rPr>
          <w:rFonts w:ascii="Calibri" w:eastAsia="Calibri" w:hAnsi="Calibri" w:cs="Calibri"/>
          <w:color w:val="000000"/>
        </w:rPr>
        <w:t xml:space="preserve"> in a form that they can </w:t>
      </w:r>
      <w:r w:rsidR="008C3450">
        <w:rPr>
          <w:rFonts w:ascii="Calibri" w:eastAsia="Calibri" w:hAnsi="Calibri" w:cs="Calibri"/>
          <w:color w:val="000000"/>
        </w:rPr>
        <w:t>‘</w:t>
      </w:r>
      <w:r w:rsidR="005B5271">
        <w:rPr>
          <w:rFonts w:ascii="Calibri" w:eastAsia="Calibri" w:hAnsi="Calibri" w:cs="Calibri"/>
          <w:color w:val="000000"/>
        </w:rPr>
        <w:t>retain</w:t>
      </w:r>
      <w:r>
        <w:rPr>
          <w:rFonts w:ascii="Calibri" w:eastAsia="Calibri" w:hAnsi="Calibri" w:cs="Calibri"/>
          <w:color w:val="000000"/>
        </w:rPr>
        <w:t>.</w:t>
      </w:r>
      <w:r w:rsidR="008C3450">
        <w:rPr>
          <w:rFonts w:ascii="Calibri" w:eastAsia="Calibri" w:hAnsi="Calibri" w:cs="Calibri"/>
          <w:color w:val="000000"/>
        </w:rPr>
        <w:t>’</w:t>
      </w:r>
    </w:p>
    <w:p w14:paraId="2C919A54" w14:textId="3DAFA046" w:rsidR="00EF1C9A" w:rsidRDefault="00EF1C9A" w:rsidP="00EF1C9A">
      <w:pPr>
        <w:spacing w:after="0" w:line="240" w:lineRule="auto"/>
        <w:rPr>
          <w:rFonts w:ascii="Calibri" w:eastAsia="Calibri" w:hAnsi="Calibri" w:cs="Calibri"/>
          <w:color w:val="000000"/>
        </w:rPr>
      </w:pPr>
    </w:p>
    <w:bookmarkEnd w:id="2"/>
    <w:bookmarkEnd w:id="3"/>
    <w:bookmarkEnd w:id="11"/>
    <w:bookmarkEnd w:id="18"/>
    <w:bookmarkEnd w:id="19"/>
    <w:bookmarkEnd w:id="20"/>
    <w:bookmarkEnd w:id="21"/>
    <w:bookmarkEnd w:id="22"/>
    <w:p w14:paraId="227AF2CF" w14:textId="7377D2AC" w:rsidR="001D488F" w:rsidRPr="001E0B8E" w:rsidRDefault="001D488F">
      <w:pPr>
        <w:rPr>
          <w:rFonts w:ascii="Verdana" w:hAnsi="Verdana"/>
          <w:b/>
          <w:bCs/>
          <w:color w:val="29588C"/>
          <w:sz w:val="28"/>
          <w:szCs w:val="28"/>
        </w:rPr>
      </w:pPr>
      <w:r w:rsidRPr="001E0B8E">
        <w:rPr>
          <w:rFonts w:ascii="Verdana" w:hAnsi="Verdana"/>
          <w:b/>
          <w:bCs/>
          <w:color w:val="29588C"/>
          <w:sz w:val="28"/>
          <w:szCs w:val="28"/>
        </w:rPr>
        <w:t xml:space="preserve">Items of </w:t>
      </w:r>
      <w:r w:rsidR="000015D0" w:rsidRPr="001E0B8E">
        <w:rPr>
          <w:rFonts w:ascii="Verdana" w:hAnsi="Verdana"/>
          <w:b/>
          <w:bCs/>
          <w:color w:val="29588C"/>
          <w:sz w:val="28"/>
          <w:szCs w:val="28"/>
        </w:rPr>
        <w:t>Interest</w:t>
      </w:r>
    </w:p>
    <w:p w14:paraId="56DA15EE" w14:textId="14629729" w:rsidR="000015D0" w:rsidRPr="001E0B8E" w:rsidRDefault="000015D0">
      <w:pPr>
        <w:rPr>
          <w:rFonts w:ascii="Verdana" w:hAnsi="Verdana"/>
          <w:b/>
          <w:bCs/>
        </w:rPr>
      </w:pPr>
      <w:bookmarkStart w:id="23" w:name="_Hlk91505373"/>
      <w:r w:rsidRPr="001E0B8E">
        <w:rPr>
          <w:rFonts w:ascii="Verdana" w:hAnsi="Verdana"/>
          <w:b/>
          <w:bCs/>
        </w:rPr>
        <w:t>Bank Management</w:t>
      </w:r>
    </w:p>
    <w:tbl>
      <w:tblPr>
        <w:tblStyle w:val="TableGrid"/>
        <w:tblW w:w="0" w:type="auto"/>
        <w:tblLook w:val="04A0" w:firstRow="1" w:lastRow="0" w:firstColumn="1" w:lastColumn="0" w:noHBand="0" w:noVBand="1"/>
      </w:tblPr>
      <w:tblGrid>
        <w:gridCol w:w="985"/>
        <w:gridCol w:w="8365"/>
      </w:tblGrid>
      <w:tr w:rsidR="008C0A76" w:rsidRPr="001E0B8E" w14:paraId="7392AE65" w14:textId="77777777" w:rsidTr="00211348">
        <w:tc>
          <w:tcPr>
            <w:tcW w:w="985" w:type="dxa"/>
            <w:shd w:val="clear" w:color="auto" w:fill="00B050"/>
          </w:tcPr>
          <w:p w14:paraId="6EC5B2EF" w14:textId="77777777" w:rsidR="008C0A76" w:rsidRPr="001E0B8E" w:rsidRDefault="008C0A76" w:rsidP="007A5DE9">
            <w:pPr>
              <w:tabs>
                <w:tab w:val="left" w:pos="580"/>
              </w:tabs>
            </w:pPr>
          </w:p>
        </w:tc>
        <w:tc>
          <w:tcPr>
            <w:tcW w:w="8365" w:type="dxa"/>
          </w:tcPr>
          <w:p w14:paraId="3071CD52" w14:textId="491FB0B2" w:rsidR="008C0A76" w:rsidRPr="008C0A76" w:rsidRDefault="008C0A76" w:rsidP="008C0A76">
            <w:pPr>
              <w:pStyle w:val="NormalWeb"/>
              <w:shd w:val="clear" w:color="auto" w:fill="FFFFFF"/>
              <w:rPr>
                <w:rFonts w:asciiTheme="minorHAnsi" w:hAnsiTheme="minorHAnsi" w:cstheme="minorHAnsi"/>
                <w:color w:val="000000" w:themeColor="text1"/>
                <w:sz w:val="22"/>
                <w:szCs w:val="22"/>
              </w:rPr>
            </w:pPr>
            <w:r w:rsidRPr="00A33AAE">
              <w:rPr>
                <w:rFonts w:asciiTheme="minorHAnsi" w:hAnsiTheme="minorHAnsi" w:cstheme="minorHAnsi"/>
                <w:b/>
                <w:bCs/>
                <w:color w:val="000000" w:themeColor="text1"/>
                <w:sz w:val="22"/>
                <w:szCs w:val="22"/>
              </w:rPr>
              <w:t>OCC</w:t>
            </w:r>
            <w:r w:rsidRPr="008C0A76">
              <w:rPr>
                <w:rFonts w:asciiTheme="minorHAnsi" w:hAnsiTheme="minorHAnsi" w:cstheme="minorHAnsi"/>
                <w:color w:val="000000" w:themeColor="text1"/>
                <w:sz w:val="22"/>
                <w:szCs w:val="22"/>
              </w:rPr>
              <w:t xml:space="preserve"> </w:t>
            </w:r>
            <w:hyperlink r:id="rId13" w:history="1">
              <w:r w:rsidRPr="00A33AAE">
                <w:rPr>
                  <w:rStyle w:val="Hyperlink"/>
                  <w:rFonts w:asciiTheme="minorHAnsi" w:hAnsiTheme="minorHAnsi" w:cstheme="minorHAnsi"/>
                  <w:sz w:val="22"/>
                  <w:szCs w:val="22"/>
                </w:rPr>
                <w:t>Registration Open for OCC Symposium on Bank Mergers</w:t>
              </w:r>
            </w:hyperlink>
            <w:r>
              <w:rPr>
                <w:rFonts w:asciiTheme="minorHAnsi" w:hAnsiTheme="minorHAnsi" w:cstheme="minorHAnsi"/>
                <w:color w:val="000000" w:themeColor="text1"/>
                <w:sz w:val="22"/>
                <w:szCs w:val="22"/>
              </w:rPr>
              <w:t xml:space="preserve"> (01/12/2023) - </w:t>
            </w:r>
            <w:r w:rsidRPr="008C0A76">
              <w:rPr>
                <w:rFonts w:asciiTheme="minorHAnsi" w:hAnsiTheme="minorHAnsi" w:cstheme="minorHAnsi"/>
                <w:color w:val="000000" w:themeColor="text1"/>
                <w:sz w:val="22"/>
                <w:szCs w:val="22"/>
              </w:rPr>
              <w:t>WASHINGTON—The Office of the Comptroller of the Currency (OCC) today announced registration is open for its symposium on bank mergers February 10, 2023, at its headquarters in Washington, D.C.</w:t>
            </w:r>
          </w:p>
          <w:p w14:paraId="18DE876D" w14:textId="77777777" w:rsidR="008C0A76" w:rsidRPr="008C0A76" w:rsidRDefault="008C0A76" w:rsidP="008C0A76">
            <w:pPr>
              <w:pStyle w:val="NormalWeb"/>
              <w:shd w:val="clear" w:color="auto" w:fill="FFFFFF"/>
              <w:rPr>
                <w:rFonts w:asciiTheme="minorHAnsi" w:hAnsiTheme="minorHAnsi" w:cstheme="minorHAnsi"/>
                <w:color w:val="000000" w:themeColor="text1"/>
                <w:sz w:val="22"/>
                <w:szCs w:val="22"/>
              </w:rPr>
            </w:pPr>
          </w:p>
          <w:p w14:paraId="2BFE22C3" w14:textId="77777777" w:rsidR="008C0A76" w:rsidRPr="008C0A76" w:rsidRDefault="008C0A76" w:rsidP="008C0A76">
            <w:pPr>
              <w:pStyle w:val="NormalWeb"/>
              <w:shd w:val="clear" w:color="auto" w:fill="FFFFFF"/>
              <w:rPr>
                <w:rFonts w:asciiTheme="minorHAnsi" w:hAnsiTheme="minorHAnsi" w:cstheme="minorHAnsi"/>
                <w:color w:val="000000" w:themeColor="text1"/>
                <w:sz w:val="22"/>
                <w:szCs w:val="22"/>
              </w:rPr>
            </w:pPr>
            <w:r w:rsidRPr="008C0A76">
              <w:rPr>
                <w:rFonts w:asciiTheme="minorHAnsi" w:hAnsiTheme="minorHAnsi" w:cstheme="minorHAnsi"/>
                <w:color w:val="000000" w:themeColor="text1"/>
                <w:sz w:val="22"/>
                <w:szCs w:val="22"/>
              </w:rPr>
              <w:t>The symposium will include panel discussions among thought leaders, academics, community groups, and the banking industry on bank mergers and is open to the public for in-person or virtual attendance.</w:t>
            </w:r>
          </w:p>
          <w:p w14:paraId="4F88553A" w14:textId="77777777" w:rsidR="008C0A76" w:rsidRPr="008C0A76" w:rsidRDefault="008C0A76" w:rsidP="008C0A76">
            <w:pPr>
              <w:pStyle w:val="NormalWeb"/>
              <w:shd w:val="clear" w:color="auto" w:fill="FFFFFF"/>
              <w:rPr>
                <w:rFonts w:asciiTheme="minorHAnsi" w:hAnsiTheme="minorHAnsi" w:cstheme="minorHAnsi"/>
                <w:color w:val="000000" w:themeColor="text1"/>
                <w:sz w:val="22"/>
                <w:szCs w:val="22"/>
              </w:rPr>
            </w:pPr>
          </w:p>
          <w:p w14:paraId="3C3A695D" w14:textId="77777777" w:rsidR="008C0A76" w:rsidRPr="008C0A76" w:rsidRDefault="008C0A76" w:rsidP="008C0A76">
            <w:pPr>
              <w:pStyle w:val="NormalWeb"/>
              <w:shd w:val="clear" w:color="auto" w:fill="FFFFFF"/>
              <w:rPr>
                <w:rFonts w:asciiTheme="minorHAnsi" w:hAnsiTheme="minorHAnsi" w:cstheme="minorHAnsi"/>
                <w:color w:val="000000" w:themeColor="text1"/>
                <w:sz w:val="22"/>
                <w:szCs w:val="22"/>
              </w:rPr>
            </w:pPr>
            <w:r w:rsidRPr="008C0A76">
              <w:rPr>
                <w:rFonts w:asciiTheme="minorHAnsi" w:hAnsiTheme="minorHAnsi" w:cstheme="minorHAnsi"/>
                <w:color w:val="000000" w:themeColor="text1"/>
                <w:sz w:val="22"/>
                <w:szCs w:val="22"/>
              </w:rPr>
              <w:t xml:space="preserve">The symposium will feature opening remarks from Acting Comptroller of the Currency Michael J. Hsu and moderated panel discussions on the effects of bank mergers in the context of competition, financial stability, and convenience and needs. The symposium will </w:t>
            </w:r>
            <w:r w:rsidRPr="008C0A76">
              <w:rPr>
                <w:rFonts w:asciiTheme="minorHAnsi" w:hAnsiTheme="minorHAnsi" w:cstheme="minorHAnsi"/>
                <w:color w:val="000000" w:themeColor="text1"/>
                <w:sz w:val="22"/>
                <w:szCs w:val="22"/>
              </w:rPr>
              <w:lastRenderedPageBreak/>
              <w:t>also include the presentation and discussion of academic research papers for an economics-focused panel on competition.</w:t>
            </w:r>
          </w:p>
          <w:p w14:paraId="27E8DFB7" w14:textId="77777777" w:rsidR="008C0A76" w:rsidRPr="008C0A76" w:rsidRDefault="008C0A76" w:rsidP="008C0A76">
            <w:pPr>
              <w:pStyle w:val="NormalWeb"/>
              <w:shd w:val="clear" w:color="auto" w:fill="FFFFFF"/>
              <w:rPr>
                <w:rFonts w:asciiTheme="minorHAnsi" w:hAnsiTheme="minorHAnsi" w:cstheme="minorHAnsi"/>
                <w:color w:val="000000" w:themeColor="text1"/>
                <w:sz w:val="22"/>
                <w:szCs w:val="22"/>
              </w:rPr>
            </w:pPr>
          </w:p>
          <w:p w14:paraId="2BDB3B89" w14:textId="77777777" w:rsidR="008C0A76" w:rsidRPr="008C0A76" w:rsidRDefault="008C0A76" w:rsidP="008C0A76">
            <w:pPr>
              <w:pStyle w:val="NormalWeb"/>
              <w:shd w:val="clear" w:color="auto" w:fill="FFFFFF"/>
              <w:rPr>
                <w:rFonts w:asciiTheme="minorHAnsi" w:hAnsiTheme="minorHAnsi" w:cstheme="minorHAnsi"/>
                <w:color w:val="000000" w:themeColor="text1"/>
                <w:sz w:val="22"/>
                <w:szCs w:val="22"/>
              </w:rPr>
            </w:pPr>
            <w:r w:rsidRPr="008C0A76">
              <w:rPr>
                <w:rFonts w:asciiTheme="minorHAnsi" w:hAnsiTheme="minorHAnsi" w:cstheme="minorHAnsi"/>
                <w:color w:val="000000" w:themeColor="text1"/>
                <w:sz w:val="22"/>
                <w:szCs w:val="22"/>
              </w:rPr>
              <w:t>Registration is required for in-person or virtual attendance at the symposium. Registration for in-person attendance will close January 25, 2023, or when full, whichever occurs first. For security reasons, attendees will be subject to screening and must present a valid government-issued identification to enter the building. Registration for virtual attendance will close February 3, 2023.</w:t>
            </w:r>
          </w:p>
          <w:p w14:paraId="1487B843" w14:textId="77777777" w:rsidR="008C0A76" w:rsidRPr="008C0A76" w:rsidRDefault="008C0A76" w:rsidP="008C0A76">
            <w:pPr>
              <w:pStyle w:val="NormalWeb"/>
              <w:shd w:val="clear" w:color="auto" w:fill="FFFFFF"/>
              <w:rPr>
                <w:rFonts w:asciiTheme="minorHAnsi" w:hAnsiTheme="minorHAnsi" w:cstheme="minorHAnsi"/>
                <w:color w:val="000000" w:themeColor="text1"/>
                <w:sz w:val="22"/>
                <w:szCs w:val="22"/>
              </w:rPr>
            </w:pPr>
          </w:p>
          <w:p w14:paraId="35B48C60" w14:textId="77777777" w:rsidR="008C0A76" w:rsidRPr="008C0A76" w:rsidRDefault="008C0A76" w:rsidP="008C0A76">
            <w:pPr>
              <w:pStyle w:val="NormalWeb"/>
              <w:shd w:val="clear" w:color="auto" w:fill="FFFFFF"/>
              <w:rPr>
                <w:rFonts w:asciiTheme="minorHAnsi" w:hAnsiTheme="minorHAnsi" w:cstheme="minorHAnsi"/>
                <w:color w:val="000000" w:themeColor="text1"/>
                <w:sz w:val="22"/>
                <w:szCs w:val="22"/>
              </w:rPr>
            </w:pPr>
            <w:r w:rsidRPr="008C0A76">
              <w:rPr>
                <w:rFonts w:asciiTheme="minorHAnsi" w:hAnsiTheme="minorHAnsi" w:cstheme="minorHAnsi"/>
                <w:color w:val="000000" w:themeColor="text1"/>
                <w:sz w:val="22"/>
                <w:szCs w:val="22"/>
              </w:rPr>
              <w:t>The agenda for the Bank Merger Symposium and information about how to register is accessible here.</w:t>
            </w:r>
          </w:p>
          <w:p w14:paraId="6A7A14E4" w14:textId="77777777" w:rsidR="008C0A76" w:rsidRPr="008C0A76" w:rsidRDefault="008C0A76" w:rsidP="008C0A76">
            <w:pPr>
              <w:pStyle w:val="NormalWeb"/>
              <w:shd w:val="clear" w:color="auto" w:fill="FFFFFF"/>
              <w:rPr>
                <w:rFonts w:asciiTheme="minorHAnsi" w:hAnsiTheme="minorHAnsi" w:cstheme="minorHAnsi"/>
                <w:color w:val="000000" w:themeColor="text1"/>
                <w:sz w:val="22"/>
                <w:szCs w:val="22"/>
              </w:rPr>
            </w:pPr>
          </w:p>
          <w:p w14:paraId="68805CBF" w14:textId="77777777" w:rsidR="008C0A76" w:rsidRPr="008C0A76" w:rsidRDefault="008C0A76" w:rsidP="008C0A76">
            <w:pPr>
              <w:pStyle w:val="NormalWeb"/>
              <w:shd w:val="clear" w:color="auto" w:fill="FFFFFF"/>
              <w:rPr>
                <w:rFonts w:asciiTheme="minorHAnsi" w:hAnsiTheme="minorHAnsi" w:cstheme="minorHAnsi"/>
                <w:color w:val="000000" w:themeColor="text1"/>
                <w:sz w:val="22"/>
                <w:szCs w:val="22"/>
              </w:rPr>
            </w:pPr>
            <w:r w:rsidRPr="008C0A76">
              <w:rPr>
                <w:rFonts w:asciiTheme="minorHAnsi" w:hAnsiTheme="minorHAnsi" w:cstheme="minorHAnsi"/>
                <w:color w:val="000000" w:themeColor="text1"/>
                <w:sz w:val="22"/>
                <w:szCs w:val="22"/>
              </w:rPr>
              <w:t>Related Links</w:t>
            </w:r>
          </w:p>
          <w:p w14:paraId="76493547" w14:textId="2237EA94" w:rsidR="008C0A76" w:rsidRDefault="00000000" w:rsidP="008C0A76">
            <w:pPr>
              <w:pStyle w:val="NormalWeb"/>
              <w:shd w:val="clear" w:color="auto" w:fill="FFFFFF"/>
              <w:rPr>
                <w:rFonts w:asciiTheme="minorHAnsi" w:hAnsiTheme="minorHAnsi" w:cstheme="minorHAnsi"/>
                <w:color w:val="000000" w:themeColor="text1"/>
                <w:sz w:val="22"/>
                <w:szCs w:val="22"/>
              </w:rPr>
            </w:pPr>
            <w:hyperlink r:id="rId14" w:history="1">
              <w:r w:rsidR="008C0A76" w:rsidRPr="008C0A76">
                <w:rPr>
                  <w:rStyle w:val="Hyperlink"/>
                  <w:rFonts w:asciiTheme="minorHAnsi" w:hAnsiTheme="minorHAnsi" w:cstheme="minorHAnsi"/>
                  <w:sz w:val="22"/>
                  <w:szCs w:val="22"/>
                </w:rPr>
                <w:t>Bank Merger Symposium Agenda (PDF)</w:t>
              </w:r>
            </w:hyperlink>
          </w:p>
          <w:p w14:paraId="316E67D9" w14:textId="718DE631" w:rsidR="008C0A76" w:rsidRPr="008C0A76" w:rsidRDefault="008C0A76" w:rsidP="008C3450">
            <w:pPr>
              <w:pStyle w:val="NormalWeb"/>
              <w:shd w:val="clear" w:color="auto" w:fill="FFFFFF"/>
              <w:rPr>
                <w:rFonts w:asciiTheme="minorHAnsi" w:hAnsiTheme="minorHAnsi" w:cstheme="minorHAnsi"/>
                <w:color w:val="000000" w:themeColor="text1"/>
                <w:sz w:val="22"/>
                <w:szCs w:val="22"/>
              </w:rPr>
            </w:pPr>
          </w:p>
        </w:tc>
      </w:tr>
      <w:tr w:rsidR="008C0A76" w:rsidRPr="001E0B8E" w14:paraId="2F0AABBB" w14:textId="77777777" w:rsidTr="008C0A76">
        <w:tc>
          <w:tcPr>
            <w:tcW w:w="985" w:type="dxa"/>
            <w:shd w:val="clear" w:color="auto" w:fill="FFFFFF" w:themeFill="background1"/>
          </w:tcPr>
          <w:p w14:paraId="430BCB2E" w14:textId="77777777" w:rsidR="008C0A76" w:rsidRPr="001E0B8E" w:rsidRDefault="008C0A76" w:rsidP="007A5DE9">
            <w:pPr>
              <w:tabs>
                <w:tab w:val="left" w:pos="580"/>
              </w:tabs>
            </w:pPr>
          </w:p>
        </w:tc>
        <w:tc>
          <w:tcPr>
            <w:tcW w:w="8365" w:type="dxa"/>
          </w:tcPr>
          <w:p w14:paraId="367E86EB" w14:textId="77777777" w:rsidR="008C0A76" w:rsidRPr="00A279C0" w:rsidRDefault="008C0A76" w:rsidP="00E5156C">
            <w:pPr>
              <w:pStyle w:val="NormalWeb"/>
              <w:shd w:val="clear" w:color="auto" w:fill="FFFFFF"/>
              <w:rPr>
                <w:rFonts w:asciiTheme="minorHAnsi" w:hAnsiTheme="minorHAnsi" w:cstheme="minorHAnsi"/>
                <w:b/>
                <w:bCs/>
                <w:color w:val="000000" w:themeColor="text1"/>
                <w:sz w:val="22"/>
                <w:szCs w:val="22"/>
              </w:rPr>
            </w:pPr>
          </w:p>
        </w:tc>
      </w:tr>
      <w:tr w:rsidR="00FC7807" w:rsidRPr="001E0B8E" w14:paraId="28AF6A98" w14:textId="77777777" w:rsidTr="00211348">
        <w:tc>
          <w:tcPr>
            <w:tcW w:w="985" w:type="dxa"/>
            <w:shd w:val="clear" w:color="auto" w:fill="00B050"/>
          </w:tcPr>
          <w:p w14:paraId="1FB2DD9C" w14:textId="77777777" w:rsidR="00FC7807" w:rsidRPr="001E0B8E" w:rsidRDefault="00FC7807" w:rsidP="007A5DE9">
            <w:pPr>
              <w:tabs>
                <w:tab w:val="left" w:pos="580"/>
              </w:tabs>
            </w:pPr>
          </w:p>
        </w:tc>
        <w:tc>
          <w:tcPr>
            <w:tcW w:w="8365" w:type="dxa"/>
          </w:tcPr>
          <w:p w14:paraId="1BA14385" w14:textId="77777777" w:rsidR="004A6E03" w:rsidRDefault="00A279C0" w:rsidP="00E5156C">
            <w:pPr>
              <w:pStyle w:val="NormalWeb"/>
              <w:shd w:val="clear" w:color="auto" w:fill="FFFFFF"/>
              <w:rPr>
                <w:rFonts w:asciiTheme="minorHAnsi" w:hAnsiTheme="minorHAnsi" w:cstheme="minorHAnsi"/>
                <w:color w:val="000000" w:themeColor="text1"/>
                <w:sz w:val="22"/>
                <w:szCs w:val="22"/>
              </w:rPr>
            </w:pPr>
            <w:r w:rsidRPr="00A279C0">
              <w:rPr>
                <w:rFonts w:asciiTheme="minorHAnsi" w:hAnsiTheme="minorHAnsi" w:cstheme="minorHAnsi"/>
                <w:b/>
                <w:bCs/>
                <w:color w:val="000000" w:themeColor="text1"/>
                <w:sz w:val="22"/>
                <w:szCs w:val="22"/>
              </w:rPr>
              <w:t>CFPB</w:t>
            </w:r>
            <w:r>
              <w:rPr>
                <w:rFonts w:asciiTheme="minorHAnsi" w:hAnsiTheme="minorHAnsi" w:cstheme="minorHAnsi"/>
                <w:color w:val="000000" w:themeColor="text1"/>
                <w:sz w:val="22"/>
                <w:szCs w:val="22"/>
              </w:rPr>
              <w:t xml:space="preserve"> </w:t>
            </w:r>
            <w:hyperlink r:id="rId15" w:history="1">
              <w:r w:rsidRPr="00A279C0">
                <w:rPr>
                  <w:rStyle w:val="Hyperlink"/>
                  <w:rFonts w:asciiTheme="minorHAnsi" w:hAnsiTheme="minorHAnsi" w:cstheme="minorHAnsi"/>
                  <w:sz w:val="22"/>
                  <w:szCs w:val="22"/>
                </w:rPr>
                <w:t>Proposes Rule to Establish Public Registry of Terms and Conditions in Form Contracts That Claim to Waive or Limit Consumer Rights and Protections</w:t>
              </w:r>
            </w:hyperlink>
            <w:r>
              <w:rPr>
                <w:rFonts w:asciiTheme="minorHAnsi" w:hAnsiTheme="minorHAnsi" w:cstheme="minorHAnsi"/>
                <w:color w:val="000000" w:themeColor="text1"/>
                <w:sz w:val="22"/>
                <w:szCs w:val="22"/>
              </w:rPr>
              <w:t xml:space="preserve"> (01/11/2023) - </w:t>
            </w:r>
            <w:r w:rsidRPr="00A279C0">
              <w:rPr>
                <w:rFonts w:asciiTheme="minorHAnsi" w:hAnsiTheme="minorHAnsi" w:cstheme="minorHAnsi"/>
                <w:color w:val="000000" w:themeColor="text1"/>
                <w:sz w:val="22"/>
                <w:szCs w:val="22"/>
              </w:rPr>
              <w:t>The Consumer Financial Protection Bureau (CFPB) proposed a rule to establish a public registry of supervised nonbanks’ terms and conditions in “take it or leave it” form contracts that claim to waive or limit consumer rights and protections, like bankruptcy rights, liability amounts, or complaint rights. In some cases, terms and conditions in non-negotiable form contracts mislead consumers into believing the terms or conditions are legally enforceable. Under the proposed rule, nonbanks subject to the CFPB’s supervisory jurisdiction would need to submit information on terms and conditions in form contracts they use that seek to waive or limit individuals’ rights and other legal protections. That information would be posted in a registry that will be open to the public, including to other consumer financial protection enforcers.</w:t>
            </w:r>
          </w:p>
          <w:p w14:paraId="2BEC70C8" w14:textId="562EF3E0" w:rsidR="008C0A76" w:rsidRPr="00154B32" w:rsidRDefault="008C0A76" w:rsidP="00263008">
            <w:pPr>
              <w:pStyle w:val="NormalWeb"/>
              <w:shd w:val="clear" w:color="auto" w:fill="FFFFFF"/>
              <w:rPr>
                <w:rFonts w:asciiTheme="minorHAnsi" w:hAnsiTheme="minorHAnsi" w:cstheme="minorHAnsi"/>
                <w:color w:val="000000" w:themeColor="text1"/>
                <w:sz w:val="22"/>
                <w:szCs w:val="22"/>
              </w:rPr>
            </w:pPr>
          </w:p>
        </w:tc>
      </w:tr>
      <w:tr w:rsidR="007A622A" w:rsidRPr="001E0B8E" w14:paraId="17C981B8" w14:textId="77777777" w:rsidTr="007A622A">
        <w:tc>
          <w:tcPr>
            <w:tcW w:w="985" w:type="dxa"/>
            <w:shd w:val="clear" w:color="auto" w:fill="auto"/>
          </w:tcPr>
          <w:p w14:paraId="66C505D9" w14:textId="77777777" w:rsidR="007A622A" w:rsidRPr="001E0B8E" w:rsidRDefault="007A622A" w:rsidP="007A5DE9">
            <w:pPr>
              <w:tabs>
                <w:tab w:val="left" w:pos="580"/>
              </w:tabs>
            </w:pPr>
          </w:p>
        </w:tc>
        <w:tc>
          <w:tcPr>
            <w:tcW w:w="8365" w:type="dxa"/>
          </w:tcPr>
          <w:p w14:paraId="2F7E3524" w14:textId="77777777" w:rsidR="007A622A" w:rsidRPr="00A279C0" w:rsidRDefault="007A622A" w:rsidP="00E5156C">
            <w:pPr>
              <w:pStyle w:val="NormalWeb"/>
              <w:shd w:val="clear" w:color="auto" w:fill="FFFFFF"/>
              <w:rPr>
                <w:rFonts w:asciiTheme="minorHAnsi" w:hAnsiTheme="minorHAnsi" w:cstheme="minorHAnsi"/>
                <w:b/>
                <w:bCs/>
                <w:color w:val="000000" w:themeColor="text1"/>
                <w:sz w:val="22"/>
                <w:szCs w:val="22"/>
              </w:rPr>
            </w:pPr>
          </w:p>
        </w:tc>
      </w:tr>
      <w:tr w:rsidR="007A622A" w:rsidRPr="001E0B8E" w14:paraId="43283B65" w14:textId="77777777" w:rsidTr="00211348">
        <w:tc>
          <w:tcPr>
            <w:tcW w:w="985" w:type="dxa"/>
            <w:shd w:val="clear" w:color="auto" w:fill="00B050"/>
          </w:tcPr>
          <w:p w14:paraId="7AE4D80E" w14:textId="77777777" w:rsidR="007A622A" w:rsidRPr="001E0B8E" w:rsidRDefault="007A622A" w:rsidP="007A5DE9">
            <w:pPr>
              <w:tabs>
                <w:tab w:val="left" w:pos="580"/>
              </w:tabs>
            </w:pPr>
          </w:p>
        </w:tc>
        <w:tc>
          <w:tcPr>
            <w:tcW w:w="8365" w:type="dxa"/>
          </w:tcPr>
          <w:p w14:paraId="24F3FC66" w14:textId="20615615" w:rsidR="007A622A" w:rsidRPr="007A622A" w:rsidRDefault="007A622A" w:rsidP="007A622A">
            <w:pPr>
              <w:pStyle w:val="NormalWeb"/>
              <w:shd w:val="clear" w:color="auto" w:fill="FFFFFF"/>
              <w:rPr>
                <w:rFonts w:asciiTheme="minorHAnsi" w:hAnsiTheme="minorHAnsi" w:cstheme="minorHAnsi"/>
                <w:i/>
                <w:iCs/>
                <w:color w:val="000000" w:themeColor="text1"/>
                <w:sz w:val="22"/>
                <w:szCs w:val="22"/>
              </w:rPr>
            </w:pPr>
            <w:r w:rsidRPr="007A622A">
              <w:rPr>
                <w:rFonts w:asciiTheme="minorHAnsi" w:hAnsiTheme="minorHAnsi" w:cstheme="minorHAnsi"/>
                <w:b/>
                <w:bCs/>
                <w:color w:val="000000" w:themeColor="text1"/>
                <w:sz w:val="22"/>
                <w:szCs w:val="22"/>
              </w:rPr>
              <w:t>FRB</w:t>
            </w:r>
            <w:r w:rsidRPr="007A622A">
              <w:rPr>
                <w:rFonts w:asciiTheme="minorHAnsi" w:hAnsiTheme="minorHAnsi" w:cstheme="minorHAnsi"/>
                <w:color w:val="000000" w:themeColor="text1"/>
                <w:sz w:val="22"/>
                <w:szCs w:val="22"/>
              </w:rPr>
              <w:t xml:space="preserve"> </w:t>
            </w:r>
            <w:hyperlink r:id="rId16" w:history="1">
              <w:r w:rsidRPr="007A622A">
                <w:rPr>
                  <w:rStyle w:val="Hyperlink"/>
                  <w:rFonts w:asciiTheme="minorHAnsi" w:hAnsiTheme="minorHAnsi" w:cstheme="minorHAnsi"/>
                  <w:sz w:val="22"/>
                  <w:szCs w:val="22"/>
                </w:rPr>
                <w:t>Brief Remarks on the Economy and Bank Supervision Governor Michelle W. Bowman</w:t>
              </w:r>
            </w:hyperlink>
            <w:r>
              <w:rPr>
                <w:rFonts w:asciiTheme="minorHAnsi" w:hAnsiTheme="minorHAnsi" w:cstheme="minorHAnsi"/>
                <w:color w:val="000000" w:themeColor="text1"/>
                <w:sz w:val="22"/>
                <w:szCs w:val="22"/>
              </w:rPr>
              <w:t xml:space="preserve"> (01/10/23) - </w:t>
            </w:r>
            <w:r w:rsidRPr="007A622A">
              <w:rPr>
                <w:rFonts w:asciiTheme="minorHAnsi" w:hAnsiTheme="minorHAnsi" w:cstheme="minorHAnsi"/>
                <w:i/>
                <w:iCs/>
                <w:color w:val="000000" w:themeColor="text1"/>
                <w:sz w:val="22"/>
                <w:szCs w:val="22"/>
              </w:rPr>
              <w:t>Monetary Policy</w:t>
            </w:r>
            <w:r>
              <w:rPr>
                <w:rFonts w:asciiTheme="minorHAnsi" w:hAnsiTheme="minorHAnsi" w:cstheme="minorHAnsi"/>
                <w:i/>
                <w:iCs/>
                <w:color w:val="000000" w:themeColor="text1"/>
                <w:sz w:val="22"/>
                <w:szCs w:val="22"/>
              </w:rPr>
              <w:t xml:space="preserve"> - </w:t>
            </w:r>
            <w:r w:rsidRPr="007A622A">
              <w:rPr>
                <w:rFonts w:asciiTheme="minorHAnsi" w:hAnsiTheme="minorHAnsi" w:cstheme="minorHAnsi"/>
                <w:i/>
                <w:iCs/>
                <w:color w:val="000000" w:themeColor="text1"/>
                <w:sz w:val="22"/>
                <w:szCs w:val="22"/>
              </w:rPr>
              <w:t>Let me begin by discussing the Fed's efforts to lower inflation. Inflation is much too high, and I am focused on bringing it down toward our 2 percent goal. Inflation affects everyone, but it is especially harmful to lower- and middle-income Americans, who spend a greater share of their income on necessities like food and housing. Stable prices are the bedrock of a healthy economy and are necessary to support a labor market that works for all Americans.</w:t>
            </w:r>
          </w:p>
          <w:p w14:paraId="3F269904" w14:textId="77777777" w:rsidR="007A622A" w:rsidRPr="007A622A" w:rsidRDefault="007A622A" w:rsidP="007A622A">
            <w:pPr>
              <w:pStyle w:val="NormalWeb"/>
              <w:shd w:val="clear" w:color="auto" w:fill="FFFFFF"/>
              <w:rPr>
                <w:rFonts w:asciiTheme="minorHAnsi" w:hAnsiTheme="minorHAnsi" w:cstheme="minorHAnsi"/>
                <w:i/>
                <w:iCs/>
                <w:color w:val="000000" w:themeColor="text1"/>
                <w:sz w:val="22"/>
                <w:szCs w:val="22"/>
              </w:rPr>
            </w:pPr>
          </w:p>
          <w:p w14:paraId="46C8FEA0" w14:textId="77777777" w:rsidR="007A622A" w:rsidRPr="007A622A" w:rsidRDefault="007A622A" w:rsidP="007A622A">
            <w:pPr>
              <w:pStyle w:val="NormalWeb"/>
              <w:shd w:val="clear" w:color="auto" w:fill="FFFFFF"/>
              <w:rPr>
                <w:rFonts w:asciiTheme="minorHAnsi" w:hAnsiTheme="minorHAnsi" w:cstheme="minorHAnsi"/>
                <w:i/>
                <w:iCs/>
                <w:color w:val="000000" w:themeColor="text1"/>
                <w:sz w:val="22"/>
                <w:szCs w:val="22"/>
              </w:rPr>
            </w:pPr>
            <w:r w:rsidRPr="007A622A">
              <w:rPr>
                <w:rFonts w:asciiTheme="minorHAnsi" w:hAnsiTheme="minorHAnsi" w:cstheme="minorHAnsi"/>
                <w:i/>
                <w:iCs/>
                <w:color w:val="000000" w:themeColor="text1"/>
                <w:sz w:val="22"/>
                <w:szCs w:val="22"/>
              </w:rPr>
              <w:t>Over the past year, I have supported the FOMC's policy actions to address high inflation, and I am committed to taking further actions to bring inflation back down to our goal. Since last March, the FOMC has been tightening monetary policy through a combination of increasing the federal funds rate by 4-1/4 percentage points and reducing our balance sheet holdings.</w:t>
            </w:r>
          </w:p>
          <w:p w14:paraId="27DD279A" w14:textId="77777777" w:rsidR="007A622A" w:rsidRPr="007A622A" w:rsidRDefault="007A622A" w:rsidP="007A622A">
            <w:pPr>
              <w:pStyle w:val="NormalWeb"/>
              <w:shd w:val="clear" w:color="auto" w:fill="FFFFFF"/>
              <w:rPr>
                <w:rFonts w:asciiTheme="minorHAnsi" w:hAnsiTheme="minorHAnsi" w:cstheme="minorHAnsi"/>
                <w:i/>
                <w:iCs/>
                <w:color w:val="000000" w:themeColor="text1"/>
                <w:sz w:val="22"/>
                <w:szCs w:val="22"/>
              </w:rPr>
            </w:pPr>
          </w:p>
          <w:p w14:paraId="65972FB3" w14:textId="77777777" w:rsidR="007A622A" w:rsidRDefault="007A622A" w:rsidP="007A622A">
            <w:pPr>
              <w:pStyle w:val="NormalWeb"/>
              <w:shd w:val="clear" w:color="auto" w:fill="FFFFFF"/>
              <w:rPr>
                <w:rFonts w:asciiTheme="minorHAnsi" w:hAnsiTheme="minorHAnsi" w:cstheme="minorHAnsi"/>
                <w:i/>
                <w:iCs/>
                <w:color w:val="000000" w:themeColor="text1"/>
                <w:sz w:val="22"/>
                <w:szCs w:val="22"/>
              </w:rPr>
            </w:pPr>
            <w:r w:rsidRPr="007A622A">
              <w:rPr>
                <w:rFonts w:asciiTheme="minorHAnsi" w:hAnsiTheme="minorHAnsi" w:cstheme="minorHAnsi"/>
                <w:i/>
                <w:iCs/>
                <w:color w:val="000000" w:themeColor="text1"/>
                <w:sz w:val="22"/>
                <w:szCs w:val="22"/>
              </w:rPr>
              <w:t xml:space="preserve">In recent months, we've seen a decline in some measures of inflation but we have a lot more work to do, so I expect the FOMC will continue raising interest rates to tighten monetary policy, as we stated after our December meeting.2 My views on the appropriate size of future rate increases and on the ultimate level of the federal funds rate will continue </w:t>
            </w:r>
            <w:r w:rsidRPr="007A622A">
              <w:rPr>
                <w:rFonts w:asciiTheme="minorHAnsi" w:hAnsiTheme="minorHAnsi" w:cstheme="minorHAnsi"/>
                <w:i/>
                <w:iCs/>
                <w:color w:val="000000" w:themeColor="text1"/>
                <w:sz w:val="22"/>
                <w:szCs w:val="22"/>
              </w:rPr>
              <w:lastRenderedPageBreak/>
              <w:t>to be guided by the incoming data and its implications for the outlook for inflation and economic activity.</w:t>
            </w:r>
          </w:p>
          <w:p w14:paraId="38417B69" w14:textId="2E2B2C32" w:rsidR="007A622A" w:rsidRPr="007A622A" w:rsidRDefault="007A622A" w:rsidP="008C3450">
            <w:pPr>
              <w:pStyle w:val="NormalWeb"/>
              <w:shd w:val="clear" w:color="auto" w:fill="FFFFFF"/>
              <w:rPr>
                <w:rFonts w:asciiTheme="minorHAnsi" w:hAnsiTheme="minorHAnsi" w:cstheme="minorHAnsi"/>
                <w:color w:val="000000" w:themeColor="text1"/>
                <w:sz w:val="22"/>
                <w:szCs w:val="22"/>
              </w:rPr>
            </w:pPr>
          </w:p>
        </w:tc>
      </w:tr>
      <w:tr w:rsidR="007A622A" w:rsidRPr="001E0B8E" w14:paraId="20B97EF2" w14:textId="77777777" w:rsidTr="007A622A">
        <w:tc>
          <w:tcPr>
            <w:tcW w:w="985" w:type="dxa"/>
            <w:shd w:val="clear" w:color="auto" w:fill="auto"/>
          </w:tcPr>
          <w:p w14:paraId="063421ED" w14:textId="77777777" w:rsidR="007A622A" w:rsidRPr="001E0B8E" w:rsidRDefault="007A622A" w:rsidP="007A5DE9">
            <w:pPr>
              <w:tabs>
                <w:tab w:val="left" w:pos="580"/>
              </w:tabs>
            </w:pPr>
          </w:p>
        </w:tc>
        <w:tc>
          <w:tcPr>
            <w:tcW w:w="8365" w:type="dxa"/>
          </w:tcPr>
          <w:p w14:paraId="19064609" w14:textId="77777777" w:rsidR="007A622A" w:rsidRPr="007A622A" w:rsidRDefault="007A622A" w:rsidP="007A622A">
            <w:pPr>
              <w:pStyle w:val="NormalWeb"/>
              <w:shd w:val="clear" w:color="auto" w:fill="FFFFFF"/>
              <w:rPr>
                <w:rFonts w:asciiTheme="minorHAnsi" w:hAnsiTheme="minorHAnsi" w:cstheme="minorHAnsi"/>
                <w:b/>
                <w:bCs/>
                <w:color w:val="000000" w:themeColor="text1"/>
                <w:sz w:val="22"/>
                <w:szCs w:val="22"/>
              </w:rPr>
            </w:pPr>
          </w:p>
        </w:tc>
      </w:tr>
      <w:tr w:rsidR="007A622A" w:rsidRPr="001E0B8E" w14:paraId="22677E97" w14:textId="77777777" w:rsidTr="00211348">
        <w:tc>
          <w:tcPr>
            <w:tcW w:w="985" w:type="dxa"/>
            <w:shd w:val="clear" w:color="auto" w:fill="00B050"/>
          </w:tcPr>
          <w:p w14:paraId="39D064B0" w14:textId="77777777" w:rsidR="007A622A" w:rsidRPr="001E0B8E" w:rsidRDefault="007A622A" w:rsidP="007A5DE9">
            <w:pPr>
              <w:tabs>
                <w:tab w:val="left" w:pos="580"/>
              </w:tabs>
            </w:pPr>
          </w:p>
        </w:tc>
        <w:tc>
          <w:tcPr>
            <w:tcW w:w="8365" w:type="dxa"/>
          </w:tcPr>
          <w:p w14:paraId="0296E86C" w14:textId="7B270E16"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b/>
                <w:bCs/>
                <w:color w:val="000000" w:themeColor="text1"/>
                <w:sz w:val="22"/>
                <w:szCs w:val="22"/>
              </w:rPr>
              <w:t>CSBS</w:t>
            </w:r>
            <w:r w:rsidRPr="007A622A">
              <w:rPr>
                <w:rFonts w:asciiTheme="minorHAnsi" w:hAnsiTheme="minorHAnsi" w:cstheme="minorHAnsi"/>
                <w:color w:val="000000" w:themeColor="text1"/>
                <w:sz w:val="22"/>
                <w:szCs w:val="22"/>
              </w:rPr>
              <w:t xml:space="preserve"> </w:t>
            </w:r>
            <w:hyperlink r:id="rId17" w:history="1">
              <w:r w:rsidRPr="007A622A">
                <w:rPr>
                  <w:rStyle w:val="Hyperlink"/>
                  <w:rFonts w:asciiTheme="minorHAnsi" w:hAnsiTheme="minorHAnsi" w:cstheme="minorHAnsi"/>
                  <w:sz w:val="22"/>
                  <w:szCs w:val="22"/>
                </w:rPr>
                <w:t>Community Bankers Have Bleak Economic Outlook</w:t>
              </w:r>
            </w:hyperlink>
            <w:r>
              <w:rPr>
                <w:rFonts w:asciiTheme="minorHAnsi" w:hAnsiTheme="minorHAnsi" w:cstheme="minorHAnsi"/>
                <w:color w:val="000000" w:themeColor="text1"/>
                <w:sz w:val="22"/>
                <w:szCs w:val="22"/>
              </w:rPr>
              <w:t xml:space="preserve"> (01/10/2023) - </w:t>
            </w:r>
            <w:r w:rsidRPr="007A622A">
              <w:rPr>
                <w:rFonts w:asciiTheme="minorHAnsi" w:hAnsiTheme="minorHAnsi" w:cstheme="minorHAnsi"/>
                <w:color w:val="000000" w:themeColor="text1"/>
                <w:sz w:val="22"/>
                <w:szCs w:val="22"/>
              </w:rPr>
              <w:t xml:space="preserve">Community bankers are starting the year with a negative economic outlook and largely believe the nation is in a recession, according to the most recent quarterly </w:t>
            </w:r>
            <w:hyperlink r:id="rId18" w:history="1">
              <w:r w:rsidRPr="007A622A">
                <w:rPr>
                  <w:rStyle w:val="Hyperlink"/>
                  <w:rFonts w:asciiTheme="minorHAnsi" w:hAnsiTheme="minorHAnsi" w:cstheme="minorHAnsi"/>
                  <w:sz w:val="22"/>
                  <w:szCs w:val="22"/>
                </w:rPr>
                <w:t>Community Bank Sentiment</w:t>
              </w:r>
            </w:hyperlink>
            <w:r w:rsidRPr="007A622A">
              <w:rPr>
                <w:rFonts w:asciiTheme="minorHAnsi" w:hAnsiTheme="minorHAnsi" w:cstheme="minorHAnsi"/>
                <w:color w:val="000000" w:themeColor="text1"/>
                <w:sz w:val="22"/>
                <w:szCs w:val="22"/>
              </w:rPr>
              <w:t xml:space="preserve"> Index (CBSI), released today by the Conference of State Bank Supervisors (CSBS).   </w:t>
            </w:r>
          </w:p>
          <w:p w14:paraId="725F1E58" w14:textId="77777777"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 xml:space="preserve"> </w:t>
            </w:r>
          </w:p>
          <w:p w14:paraId="461C0F21" w14:textId="77777777"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 xml:space="preserve">The CBSI fell six points to 85 in the fourth quarter of 2022, with community bankers noting particular concern about regulatory burden, monetary </w:t>
            </w:r>
            <w:proofErr w:type="gramStart"/>
            <w:r w:rsidRPr="007A622A">
              <w:rPr>
                <w:rFonts w:asciiTheme="minorHAnsi" w:hAnsiTheme="minorHAnsi" w:cstheme="minorHAnsi"/>
                <w:color w:val="000000" w:themeColor="text1"/>
                <w:sz w:val="22"/>
                <w:szCs w:val="22"/>
              </w:rPr>
              <w:t>policy</w:t>
            </w:r>
            <w:proofErr w:type="gramEnd"/>
            <w:r w:rsidRPr="007A622A">
              <w:rPr>
                <w:rFonts w:asciiTheme="minorHAnsi" w:hAnsiTheme="minorHAnsi" w:cstheme="minorHAnsi"/>
                <w:color w:val="000000" w:themeColor="text1"/>
                <w:sz w:val="22"/>
                <w:szCs w:val="22"/>
              </w:rPr>
              <w:t xml:space="preserve"> and future business conditions. While community banker sentiment was pessimistic throughout the year, the CBSI is back to near its lowest recorded level of 84 in the second quarter of 2022. </w:t>
            </w:r>
          </w:p>
          <w:p w14:paraId="3D7D4AD1" w14:textId="77777777"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 xml:space="preserve"> </w:t>
            </w:r>
          </w:p>
          <w:p w14:paraId="0AAC0800" w14:textId="77777777"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 xml:space="preserve">“The nation’s community bankers have a gloomy economic outlook and expect a tough year ahead. And because they have a good sense of consumer and business confidence at the local level, community bankers might be the best leading indicator for assessing future economic conditions,” said CSBS Chief Economist Tom </w:t>
            </w:r>
            <w:proofErr w:type="spellStart"/>
            <w:r w:rsidRPr="007A622A">
              <w:rPr>
                <w:rFonts w:asciiTheme="minorHAnsi" w:hAnsiTheme="minorHAnsi" w:cstheme="minorHAnsi"/>
                <w:color w:val="000000" w:themeColor="text1"/>
                <w:sz w:val="22"/>
                <w:szCs w:val="22"/>
              </w:rPr>
              <w:t>Siems</w:t>
            </w:r>
            <w:proofErr w:type="spellEnd"/>
            <w:r w:rsidRPr="007A622A">
              <w:rPr>
                <w:rFonts w:asciiTheme="minorHAnsi" w:hAnsiTheme="minorHAnsi" w:cstheme="minorHAnsi"/>
                <w:color w:val="000000" w:themeColor="text1"/>
                <w:sz w:val="22"/>
                <w:szCs w:val="22"/>
              </w:rPr>
              <w:t xml:space="preserve">.  </w:t>
            </w:r>
          </w:p>
          <w:p w14:paraId="04BB93D6" w14:textId="77777777"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 xml:space="preserve"> </w:t>
            </w:r>
          </w:p>
          <w:p w14:paraId="2B23362F" w14:textId="77777777"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 xml:space="preserve">The CBSI captures what community bankers nationwide think about the future and is included in the Federal Reserve Economic Data, the online database maintained by the Federal Reserve Bank of St. Louis known informally as the FRED. An index reading of 100 indicates a neutral sentiment. Anything above 100 indicates a positive sentiment, and anything below 100 indicates a negative sentiment.   </w:t>
            </w:r>
          </w:p>
          <w:p w14:paraId="00E280D2" w14:textId="77777777"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 xml:space="preserve"> </w:t>
            </w:r>
          </w:p>
          <w:p w14:paraId="0C74A04E" w14:textId="328074A2" w:rsid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 xml:space="preserve">An overwhelming majority, 96% of respondents, said they believe the U.S. economy is in a recession and cited inflation, government regulation, labor challenges and cyberattacks as their top concerns for the year ahead.  </w:t>
            </w:r>
          </w:p>
          <w:p w14:paraId="0507358F" w14:textId="77777777"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p>
          <w:p w14:paraId="713683A9" w14:textId="405D785A" w:rsid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 xml:space="preserve">Six of the seven components that comprise the CBSI fell from the previous quarter. Expectations that the Federal Reserve’s monetary policy decisions will negatively impact market conditions continues to hold the overall index down, decreasing two points to 33. The outlook for future business conditions also continues to weigh down the overall index, falling five points to 37. </w:t>
            </w:r>
          </w:p>
          <w:p w14:paraId="5CDEE7A4" w14:textId="77777777"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p>
          <w:p w14:paraId="5365DFFE" w14:textId="77777777"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 xml:space="preserve">The regulatory burden component remains the lowest among the seven components at 26 points, rising five points from last quarter but remaining below 28 for eight straight quarters. </w:t>
            </w:r>
          </w:p>
          <w:p w14:paraId="064F0398" w14:textId="77777777"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 xml:space="preserve"> </w:t>
            </w:r>
          </w:p>
          <w:p w14:paraId="57BF9AEE" w14:textId="77777777" w:rsidR="007A622A" w:rsidRDefault="007A622A" w:rsidP="007A622A">
            <w:pPr>
              <w:pStyle w:val="NormalWeb"/>
              <w:shd w:val="clear" w:color="auto" w:fill="FFFFFF"/>
              <w:rPr>
                <w:rFonts w:asciiTheme="minorHAnsi" w:hAnsiTheme="minorHAnsi" w:cstheme="minorHAnsi"/>
                <w:color w:val="000000" w:themeColor="text1"/>
                <w:sz w:val="22"/>
                <w:szCs w:val="22"/>
              </w:rPr>
            </w:pPr>
            <w:r w:rsidRPr="007A622A">
              <w:rPr>
                <w:rFonts w:asciiTheme="minorHAnsi" w:hAnsiTheme="minorHAnsi" w:cstheme="minorHAnsi"/>
                <w:color w:val="000000" w:themeColor="text1"/>
                <w:sz w:val="22"/>
                <w:szCs w:val="22"/>
              </w:rPr>
              <w:t>At 99, the profitability component had the greatest quarterly decline, falling 22 points, and returned near its level of 101 recorded in Q2 2022.</w:t>
            </w:r>
          </w:p>
          <w:p w14:paraId="739CB520" w14:textId="77777777" w:rsidR="007A622A" w:rsidRDefault="007A622A" w:rsidP="007A622A">
            <w:pPr>
              <w:pStyle w:val="NormalWeb"/>
              <w:shd w:val="clear" w:color="auto" w:fill="FFFFFF"/>
              <w:rPr>
                <w:rFonts w:asciiTheme="minorHAnsi" w:hAnsiTheme="minorHAnsi" w:cstheme="minorHAnsi"/>
                <w:color w:val="000000" w:themeColor="text1"/>
                <w:sz w:val="22"/>
                <w:szCs w:val="22"/>
              </w:rPr>
            </w:pPr>
          </w:p>
          <w:p w14:paraId="5DDD8A21" w14:textId="57C9B111" w:rsidR="007A622A" w:rsidRDefault="007A622A" w:rsidP="007A622A">
            <w:pPr>
              <w:pStyle w:val="NormalWeb"/>
              <w:shd w:val="clear" w:color="auto" w:fill="FFFFFF"/>
              <w:rPr>
                <w:rFonts w:asciiTheme="minorHAnsi" w:hAnsiTheme="minorHAnsi" w:cstheme="minorHAnsi"/>
                <w:b/>
                <w:bCs/>
                <w:i/>
                <w:iCs/>
                <w:color w:val="002060"/>
                <w:sz w:val="22"/>
                <w:szCs w:val="22"/>
              </w:rPr>
            </w:pPr>
            <w:r w:rsidRPr="00154B32">
              <w:rPr>
                <w:rFonts w:asciiTheme="minorHAnsi" w:hAnsiTheme="minorHAnsi" w:cstheme="minorHAnsi"/>
                <w:b/>
                <w:bCs/>
                <w:i/>
                <w:iCs/>
                <w:color w:val="002060"/>
                <w:sz w:val="22"/>
                <w:szCs w:val="22"/>
              </w:rPr>
              <w:t>Comment:</w:t>
            </w:r>
            <w:r w:rsidR="00E43EED">
              <w:t xml:space="preserve"> </w:t>
            </w:r>
            <w:r w:rsidR="00E43EED" w:rsidRPr="00E43EED">
              <w:rPr>
                <w:rFonts w:asciiTheme="minorHAnsi" w:hAnsiTheme="minorHAnsi" w:cstheme="minorHAnsi"/>
                <w:b/>
                <w:bCs/>
                <w:i/>
                <w:iCs/>
                <w:color w:val="002060"/>
                <w:sz w:val="22"/>
                <w:szCs w:val="22"/>
              </w:rPr>
              <w:t xml:space="preserve">CSBS Chief Economist Tom </w:t>
            </w:r>
            <w:proofErr w:type="spellStart"/>
            <w:r w:rsidR="00E43EED" w:rsidRPr="00E43EED">
              <w:rPr>
                <w:rFonts w:asciiTheme="minorHAnsi" w:hAnsiTheme="minorHAnsi" w:cstheme="minorHAnsi"/>
                <w:b/>
                <w:bCs/>
                <w:i/>
                <w:iCs/>
                <w:color w:val="002060"/>
                <w:sz w:val="22"/>
                <w:szCs w:val="22"/>
              </w:rPr>
              <w:t>Siems</w:t>
            </w:r>
            <w:proofErr w:type="spellEnd"/>
            <w:r w:rsidR="00E43EED" w:rsidRPr="00E43EED">
              <w:rPr>
                <w:rFonts w:asciiTheme="minorHAnsi" w:hAnsiTheme="minorHAnsi" w:cstheme="minorHAnsi"/>
                <w:b/>
                <w:bCs/>
                <w:i/>
                <w:iCs/>
                <w:color w:val="002060"/>
                <w:sz w:val="22"/>
                <w:szCs w:val="22"/>
              </w:rPr>
              <w:t xml:space="preserve"> </w:t>
            </w:r>
            <w:r w:rsidR="00E43EED">
              <w:rPr>
                <w:rFonts w:asciiTheme="minorHAnsi" w:hAnsiTheme="minorHAnsi" w:cstheme="minorHAnsi"/>
                <w:b/>
                <w:bCs/>
                <w:i/>
                <w:iCs/>
                <w:color w:val="002060"/>
                <w:sz w:val="22"/>
                <w:szCs w:val="22"/>
              </w:rPr>
              <w:t>discusses</w:t>
            </w:r>
            <w:r w:rsidR="00E43EED" w:rsidRPr="00E43EED">
              <w:rPr>
                <w:rFonts w:asciiTheme="minorHAnsi" w:hAnsiTheme="minorHAnsi" w:cstheme="minorHAnsi"/>
                <w:b/>
                <w:bCs/>
                <w:i/>
                <w:iCs/>
                <w:color w:val="002060"/>
                <w:sz w:val="22"/>
                <w:szCs w:val="22"/>
              </w:rPr>
              <w:t xml:space="preserve"> findings from the most recent CSBS Community Bank Sentiment Index</w:t>
            </w:r>
            <w:r w:rsidR="00E43EED">
              <w:rPr>
                <w:rFonts w:asciiTheme="minorHAnsi" w:hAnsiTheme="minorHAnsi" w:cstheme="minorHAnsi"/>
                <w:b/>
                <w:bCs/>
                <w:i/>
                <w:iCs/>
                <w:color w:val="002060"/>
                <w:sz w:val="22"/>
                <w:szCs w:val="22"/>
              </w:rPr>
              <w:t xml:space="preserve"> in the podcast ‘</w:t>
            </w:r>
            <w:hyperlink r:id="rId19" w:history="1">
              <w:r w:rsidR="00E43EED" w:rsidRPr="00E43EED">
                <w:rPr>
                  <w:rStyle w:val="Hyperlink"/>
                  <w:rFonts w:asciiTheme="minorHAnsi" w:hAnsiTheme="minorHAnsi" w:cstheme="minorHAnsi"/>
                  <w:b/>
                  <w:bCs/>
                  <w:i/>
                  <w:iCs/>
                  <w:sz w:val="22"/>
                  <w:szCs w:val="22"/>
                </w:rPr>
                <w:t>Simply Stated</w:t>
              </w:r>
            </w:hyperlink>
            <w:r w:rsidR="00E43EED">
              <w:rPr>
                <w:rFonts w:asciiTheme="minorHAnsi" w:hAnsiTheme="minorHAnsi" w:cstheme="minorHAnsi"/>
                <w:b/>
                <w:bCs/>
                <w:i/>
                <w:iCs/>
                <w:color w:val="002060"/>
                <w:sz w:val="22"/>
                <w:szCs w:val="22"/>
              </w:rPr>
              <w:t xml:space="preserve">.’ </w:t>
            </w:r>
          </w:p>
          <w:p w14:paraId="0AB37A4C" w14:textId="6CA79219" w:rsidR="007A622A" w:rsidRPr="007A622A" w:rsidRDefault="007A622A" w:rsidP="007A622A">
            <w:pPr>
              <w:pStyle w:val="NormalWeb"/>
              <w:shd w:val="clear" w:color="auto" w:fill="FFFFFF"/>
              <w:rPr>
                <w:rFonts w:asciiTheme="minorHAnsi" w:hAnsiTheme="minorHAnsi" w:cstheme="minorHAnsi"/>
                <w:color w:val="000000" w:themeColor="text1"/>
                <w:sz w:val="22"/>
                <w:szCs w:val="22"/>
              </w:rPr>
            </w:pPr>
          </w:p>
        </w:tc>
      </w:tr>
      <w:bookmarkEnd w:id="23"/>
    </w:tbl>
    <w:p w14:paraId="6A18DF6F" w14:textId="79C1E0E1" w:rsidR="001D488F" w:rsidRPr="001E0B8E" w:rsidRDefault="001D488F"/>
    <w:p w14:paraId="02F04456" w14:textId="72C15372" w:rsidR="00AC1F42" w:rsidRPr="001E0B8E" w:rsidRDefault="00AC1F42" w:rsidP="00AC1F42">
      <w:pPr>
        <w:rPr>
          <w:rFonts w:ascii="Verdana" w:hAnsi="Verdana"/>
          <w:b/>
          <w:bCs/>
        </w:rPr>
      </w:pPr>
      <w:r w:rsidRPr="001E0B8E">
        <w:rPr>
          <w:rFonts w:ascii="Verdana" w:hAnsi="Verdana"/>
          <w:b/>
          <w:bCs/>
        </w:rPr>
        <w:t>BSA / AML</w:t>
      </w:r>
    </w:p>
    <w:tbl>
      <w:tblPr>
        <w:tblStyle w:val="TableGrid"/>
        <w:tblW w:w="0" w:type="auto"/>
        <w:tblLook w:val="04A0" w:firstRow="1" w:lastRow="0" w:firstColumn="1" w:lastColumn="0" w:noHBand="0" w:noVBand="1"/>
      </w:tblPr>
      <w:tblGrid>
        <w:gridCol w:w="985"/>
        <w:gridCol w:w="8365"/>
      </w:tblGrid>
      <w:tr w:rsidR="00A33AAE" w:rsidRPr="001E0B8E" w14:paraId="1427209D" w14:textId="77777777" w:rsidTr="00543E9D">
        <w:tc>
          <w:tcPr>
            <w:tcW w:w="985" w:type="dxa"/>
            <w:shd w:val="clear" w:color="auto" w:fill="FFFF00"/>
          </w:tcPr>
          <w:p w14:paraId="5C419EB1" w14:textId="77777777" w:rsidR="00A33AAE" w:rsidRPr="001E0B8E" w:rsidRDefault="00A33AAE" w:rsidP="00215448">
            <w:pPr>
              <w:tabs>
                <w:tab w:val="left" w:pos="580"/>
              </w:tabs>
            </w:pPr>
          </w:p>
        </w:tc>
        <w:tc>
          <w:tcPr>
            <w:tcW w:w="8365" w:type="dxa"/>
          </w:tcPr>
          <w:p w14:paraId="5BB5CFA6" w14:textId="61677B54" w:rsidR="00A33AAE" w:rsidRDefault="00A33AAE" w:rsidP="00A33AAE">
            <w:pPr>
              <w:shd w:val="clear" w:color="auto" w:fill="FFFFFF"/>
              <w:textAlignment w:val="baseline"/>
            </w:pPr>
            <w:r w:rsidRPr="00A33AAE">
              <w:rPr>
                <w:b/>
                <w:bCs/>
              </w:rPr>
              <w:t>FinCEN</w:t>
            </w:r>
            <w:r w:rsidRPr="00A33AAE">
              <w:t xml:space="preserve"> </w:t>
            </w:r>
            <w:hyperlink r:id="rId20" w:history="1">
              <w:r w:rsidRPr="00A33AAE">
                <w:rPr>
                  <w:rStyle w:val="Hyperlink"/>
                </w:rPr>
                <w:t>Issues Notice of Proposed Rulemaking Regarding Access to Beneficial Ownership Information and Related Safeguards</w:t>
              </w:r>
            </w:hyperlink>
            <w:r>
              <w:t xml:space="preserve"> (01/15/2023) - The Financial Crimes Enforcement Network (FinCEN) today issued a Notice of Proposed Rulemaking (NPRM) that would implement provisions of the Corporate Transparency Act (CTA) that govern the access to and protection of beneficial ownership information. This NPRM proposes regulations that would govern the circumstances under which such information may be disclosed to Federal agencies; state, local, tribal, and foreign governments; and financial institutions, and how it must be protected.</w:t>
            </w:r>
          </w:p>
          <w:p w14:paraId="68EBF023" w14:textId="77777777" w:rsidR="00A33AAE" w:rsidRDefault="00A33AAE" w:rsidP="00A33AAE">
            <w:pPr>
              <w:shd w:val="clear" w:color="auto" w:fill="FFFFFF"/>
              <w:textAlignment w:val="baseline"/>
            </w:pPr>
          </w:p>
          <w:p w14:paraId="3E6870F1" w14:textId="77777777" w:rsidR="00A33AAE" w:rsidRDefault="00A33AAE" w:rsidP="00A33AAE">
            <w:pPr>
              <w:shd w:val="clear" w:color="auto" w:fill="FFFFFF"/>
              <w:textAlignment w:val="baseline"/>
            </w:pPr>
            <w:r>
              <w:t xml:space="preserve">The proposed regulations specify how government officials would access beneficial ownership information </w:t>
            </w:r>
            <w:proofErr w:type="gramStart"/>
            <w:r>
              <w:t>in order to</w:t>
            </w:r>
            <w:proofErr w:type="gramEnd"/>
            <w:r>
              <w:t xml:space="preserve"> support law enforcement, national security, and intelligence activities. They also describe how certain financial </w:t>
            </w:r>
            <w:proofErr w:type="gramStart"/>
            <w:r>
              <w:t>institutions</w:t>
            </w:r>
            <w:proofErr w:type="gramEnd"/>
            <w:r>
              <w:t xml:space="preserve"> and their regulators would access such information in order to fulfill customer due diligence requirements and conduct supervision. The proposed rule also sets forth high standards for protecting this sensitive information consistent with the goals and requirements of the CTA. The NPRM also proposes amendments to the final reporting rule to specify when reporting companies may report FinCEN identifiers associated with entities.</w:t>
            </w:r>
          </w:p>
          <w:p w14:paraId="47C19B8D" w14:textId="77777777" w:rsidR="00A33AAE" w:rsidRDefault="00A33AAE" w:rsidP="00A33AAE">
            <w:pPr>
              <w:shd w:val="clear" w:color="auto" w:fill="FFFFFF"/>
              <w:textAlignment w:val="baseline"/>
            </w:pPr>
          </w:p>
          <w:p w14:paraId="69794D6E" w14:textId="77777777" w:rsidR="00A33AAE" w:rsidRDefault="00A33AAE" w:rsidP="00A33AAE">
            <w:pPr>
              <w:shd w:val="clear" w:color="auto" w:fill="FFFFFF"/>
              <w:textAlignment w:val="baseline"/>
            </w:pPr>
            <w:r>
              <w:t xml:space="preserve">“The beneficial ownership information reporting rule finalized earlier this year is a major step forward in unmasking shell companies and protecting the U.S. financial system from abuse by money launderers, drug traffickers, sanctioned oligarchs, and other criminals,” said FinCEN Acting Director </w:t>
            </w:r>
            <w:proofErr w:type="spellStart"/>
            <w:r>
              <w:t>Himamauli</w:t>
            </w:r>
            <w:proofErr w:type="spellEnd"/>
            <w:r>
              <w:t xml:space="preserve"> Das. “In this next step, the proposed rule would provide the highest standards of security and confidentiality while ensuring that the new beneficial ownership database is highly useful to law enforcement agencies in its efforts to combat financial crime. As we drive toward full implementation of the Corporate Transparency Act, we move closer to exposing criminals, corrupt actors, and anyone trying to hide ill-gotten gains in the United States.”</w:t>
            </w:r>
          </w:p>
          <w:p w14:paraId="6D9C73AA" w14:textId="77777777" w:rsidR="00A33AAE" w:rsidRDefault="00A33AAE" w:rsidP="00A33AAE">
            <w:pPr>
              <w:shd w:val="clear" w:color="auto" w:fill="FFFFFF"/>
              <w:textAlignment w:val="baseline"/>
            </w:pPr>
          </w:p>
          <w:p w14:paraId="260E2085" w14:textId="77777777" w:rsidR="00A33AAE" w:rsidRDefault="00A33AAE" w:rsidP="00A33AAE">
            <w:pPr>
              <w:shd w:val="clear" w:color="auto" w:fill="FFFFFF"/>
              <w:textAlignment w:val="baseline"/>
            </w:pPr>
            <w:r>
              <w:t>This NPRM follows the final reporting rule that FinCEN issued on September 30, 2022, requiring most corporations, limited liability companies, and other similar entities created in or registered to do business in the United States to report information about their beneficial owners to FinCEN. In accordance with the CTA’s requirements, FinCEN’s proposal limits access to beneficial ownership information to Federal agencies engaged in national security, intelligence, or law enforcement activities; state, local, and Tribal law enforcement agencies with court authorization; financial institutions with customer due diligence requirements and regulators supervising them for compliance with such requirements; foreign law enforcement agencies, prosecutors, judges, and other agencies that meet specific criteria; and Treasury officers and employees under certain circumstances. FinCEN further proposes to subject each category of authorized recipients to security and confidentiality protocols that align with the scope of the access and use provisions.</w:t>
            </w:r>
          </w:p>
          <w:p w14:paraId="07024731" w14:textId="77777777" w:rsidR="00A33AAE" w:rsidRDefault="00A33AAE" w:rsidP="00A33AAE">
            <w:pPr>
              <w:shd w:val="clear" w:color="auto" w:fill="FFFFFF"/>
              <w:textAlignment w:val="baseline"/>
            </w:pPr>
          </w:p>
          <w:p w14:paraId="7D71D11A" w14:textId="77777777" w:rsidR="00A33AAE" w:rsidRDefault="00A33AAE" w:rsidP="00A33AAE">
            <w:pPr>
              <w:shd w:val="clear" w:color="auto" w:fill="FFFFFF"/>
              <w:textAlignment w:val="baseline"/>
            </w:pPr>
            <w:r>
              <w:t>FinCEN strongly encourages all interested parties to submit comments on its proposals. Written comments on the NPRM should be submitted within 60 days following publication in the Federal Register.</w:t>
            </w:r>
          </w:p>
          <w:p w14:paraId="126FDC64" w14:textId="77777777" w:rsidR="00A33AAE" w:rsidRDefault="00A33AAE" w:rsidP="00A33AAE">
            <w:pPr>
              <w:shd w:val="clear" w:color="auto" w:fill="FFFFFF"/>
              <w:textAlignment w:val="baseline"/>
            </w:pPr>
          </w:p>
          <w:p w14:paraId="643F5B98" w14:textId="61C70E07" w:rsidR="00A33AAE" w:rsidRDefault="00000000" w:rsidP="00A33AAE">
            <w:pPr>
              <w:shd w:val="clear" w:color="auto" w:fill="FFFFFF"/>
              <w:textAlignment w:val="baseline"/>
            </w:pPr>
            <w:hyperlink r:id="rId21" w:history="1">
              <w:r w:rsidR="00A33AAE" w:rsidRPr="00A33AAE">
                <w:rPr>
                  <w:rStyle w:val="Hyperlink"/>
                </w:rPr>
                <w:t>NPRM Fact Sheet</w:t>
              </w:r>
            </w:hyperlink>
          </w:p>
          <w:p w14:paraId="220A9EAB" w14:textId="77777777" w:rsidR="00A33AAE" w:rsidRDefault="00A33AAE" w:rsidP="00A33AAE">
            <w:pPr>
              <w:shd w:val="clear" w:color="auto" w:fill="FFFFFF"/>
              <w:textAlignment w:val="baseline"/>
            </w:pPr>
          </w:p>
          <w:p w14:paraId="161089DF" w14:textId="335C381F" w:rsidR="00A33AAE" w:rsidRPr="00251FCA" w:rsidRDefault="00A33AAE" w:rsidP="00A33AAE">
            <w:pPr>
              <w:pStyle w:val="NormalWeb"/>
              <w:shd w:val="clear" w:color="auto" w:fill="FFFFFF"/>
              <w:rPr>
                <w:rFonts w:asciiTheme="minorHAnsi" w:hAnsiTheme="minorHAnsi" w:cstheme="minorHAnsi"/>
                <w:b/>
                <w:bCs/>
                <w:i/>
                <w:iCs/>
                <w:color w:val="002060"/>
                <w:sz w:val="22"/>
                <w:szCs w:val="22"/>
              </w:rPr>
            </w:pPr>
            <w:r w:rsidRPr="00251FCA">
              <w:rPr>
                <w:rFonts w:asciiTheme="minorHAnsi" w:hAnsiTheme="minorHAnsi" w:cstheme="minorHAnsi"/>
                <w:b/>
                <w:bCs/>
                <w:i/>
                <w:iCs/>
                <w:color w:val="002060"/>
                <w:sz w:val="22"/>
                <w:szCs w:val="22"/>
              </w:rPr>
              <w:lastRenderedPageBreak/>
              <w:t>Comment:</w:t>
            </w:r>
            <w:r w:rsidR="00251FCA" w:rsidRPr="00251FCA">
              <w:rPr>
                <w:rFonts w:asciiTheme="minorHAnsi" w:hAnsiTheme="minorHAnsi" w:cstheme="minorHAnsi"/>
                <w:b/>
                <w:bCs/>
                <w:i/>
                <w:iCs/>
                <w:color w:val="002060"/>
                <w:sz w:val="22"/>
                <w:szCs w:val="22"/>
              </w:rPr>
              <w:t xml:space="preserve"> Based on the Access NPRM, </w:t>
            </w:r>
            <w:r w:rsidR="00251FCA">
              <w:rPr>
                <w:rFonts w:asciiTheme="minorHAnsi" w:hAnsiTheme="minorHAnsi" w:cstheme="minorHAnsi"/>
                <w:b/>
                <w:bCs/>
                <w:i/>
                <w:iCs/>
                <w:color w:val="002060"/>
                <w:sz w:val="22"/>
                <w:szCs w:val="22"/>
              </w:rPr>
              <w:t>banks</w:t>
            </w:r>
            <w:r w:rsidR="00251FCA" w:rsidRPr="00251FCA">
              <w:rPr>
                <w:rFonts w:asciiTheme="minorHAnsi" w:hAnsiTheme="minorHAnsi" w:cstheme="minorHAnsi"/>
                <w:b/>
                <w:bCs/>
                <w:i/>
                <w:iCs/>
                <w:color w:val="002060"/>
                <w:sz w:val="22"/>
                <w:szCs w:val="22"/>
              </w:rPr>
              <w:t xml:space="preserve"> would be required to submit requests for BOI to FinCEN in the form and manner FinCEN shall prescribe. FinCEN intends to provide additional detail regarding the form and manner of BOI requests for all categories of authorized users through specific instructions and guidance as it continues developing the beneficial ownership IT system. The Access NPRM also expands on the reasons for rejecting requests to access BOI and provides that FinCEN would be permitted to deny requests from both agencies and any other authorized recipient, including </w:t>
            </w:r>
            <w:r w:rsidR="00251FCA">
              <w:rPr>
                <w:rFonts w:asciiTheme="minorHAnsi" w:hAnsiTheme="minorHAnsi" w:cstheme="minorHAnsi"/>
                <w:b/>
                <w:bCs/>
                <w:i/>
                <w:iCs/>
                <w:color w:val="002060"/>
                <w:sz w:val="22"/>
                <w:szCs w:val="22"/>
              </w:rPr>
              <w:t>bank</w:t>
            </w:r>
            <w:r w:rsidR="00251FCA" w:rsidRPr="00251FCA">
              <w:rPr>
                <w:rFonts w:asciiTheme="minorHAnsi" w:hAnsiTheme="minorHAnsi" w:cstheme="minorHAnsi"/>
                <w:b/>
                <w:bCs/>
                <w:i/>
                <w:iCs/>
                <w:color w:val="002060"/>
                <w:sz w:val="22"/>
                <w:szCs w:val="22"/>
              </w:rPr>
              <w:t>s.</w:t>
            </w:r>
          </w:p>
          <w:p w14:paraId="5C71C889" w14:textId="6DA9B17B" w:rsidR="00A33AAE" w:rsidRPr="00A33AAE" w:rsidRDefault="00A33AAE" w:rsidP="00A33AAE">
            <w:pPr>
              <w:shd w:val="clear" w:color="auto" w:fill="FFFFFF"/>
              <w:textAlignment w:val="baseline"/>
            </w:pPr>
          </w:p>
        </w:tc>
      </w:tr>
      <w:tr w:rsidR="00A33AAE" w:rsidRPr="001E0B8E" w14:paraId="7C82470B" w14:textId="77777777" w:rsidTr="00A33AAE">
        <w:tc>
          <w:tcPr>
            <w:tcW w:w="985" w:type="dxa"/>
            <w:shd w:val="clear" w:color="auto" w:fill="FFFFFF" w:themeFill="background1"/>
          </w:tcPr>
          <w:p w14:paraId="2B7C5E72" w14:textId="77777777" w:rsidR="00A33AAE" w:rsidRPr="001E0B8E" w:rsidRDefault="00A33AAE" w:rsidP="00215448">
            <w:pPr>
              <w:tabs>
                <w:tab w:val="left" w:pos="580"/>
              </w:tabs>
            </w:pPr>
          </w:p>
        </w:tc>
        <w:tc>
          <w:tcPr>
            <w:tcW w:w="8365" w:type="dxa"/>
          </w:tcPr>
          <w:p w14:paraId="5D400810" w14:textId="77777777" w:rsidR="00A33AAE" w:rsidRPr="00543E9D" w:rsidRDefault="00A33AAE" w:rsidP="00543E9D">
            <w:pPr>
              <w:shd w:val="clear" w:color="auto" w:fill="FFFFFF"/>
              <w:textAlignment w:val="baseline"/>
              <w:rPr>
                <w:b/>
                <w:bCs/>
              </w:rPr>
            </w:pPr>
          </w:p>
        </w:tc>
      </w:tr>
      <w:tr w:rsidR="00BE5D3F" w:rsidRPr="001E0B8E" w14:paraId="632E24FC" w14:textId="77777777" w:rsidTr="00543E9D">
        <w:tc>
          <w:tcPr>
            <w:tcW w:w="985" w:type="dxa"/>
            <w:shd w:val="clear" w:color="auto" w:fill="FFFF00"/>
          </w:tcPr>
          <w:p w14:paraId="41059ADD" w14:textId="77777777" w:rsidR="00BE5D3F" w:rsidRPr="001E0B8E" w:rsidRDefault="00BE5D3F" w:rsidP="00215448">
            <w:pPr>
              <w:tabs>
                <w:tab w:val="left" w:pos="580"/>
              </w:tabs>
            </w:pPr>
          </w:p>
        </w:tc>
        <w:tc>
          <w:tcPr>
            <w:tcW w:w="8365" w:type="dxa"/>
          </w:tcPr>
          <w:p w14:paraId="199EE3A4" w14:textId="63B0152D" w:rsidR="00543E9D" w:rsidRDefault="00543E9D" w:rsidP="00543E9D">
            <w:pPr>
              <w:shd w:val="clear" w:color="auto" w:fill="FFFFFF"/>
              <w:textAlignment w:val="baseline"/>
            </w:pPr>
            <w:r w:rsidRPr="00543E9D">
              <w:rPr>
                <w:b/>
                <w:bCs/>
              </w:rPr>
              <w:t>FinCEN</w:t>
            </w:r>
            <w:r>
              <w:t xml:space="preserve"> </w:t>
            </w:r>
            <w:hyperlink r:id="rId22" w:history="1">
              <w:r w:rsidRPr="00543E9D">
                <w:rPr>
                  <w:rStyle w:val="Hyperlink"/>
                </w:rPr>
                <w:t>Issues Alert on Human Smuggling Along the Southwest Border of the United States</w:t>
              </w:r>
            </w:hyperlink>
            <w:r>
              <w:t xml:space="preserve"> (01/13/2023) - WASHINGTON—The Financial Crimes Enforcement Network (FinCEN) issued an alert today to better support financial institutions in detecting financial activity related to human smuggling along the southwest border of the United States. The alert provides trends, typologies, and red flag indicators to help financial institutions better identify and report suspicious transactions potentially related to such activity.</w:t>
            </w:r>
          </w:p>
          <w:p w14:paraId="7F8FD5A7" w14:textId="77777777" w:rsidR="00543E9D" w:rsidRDefault="00543E9D" w:rsidP="00543E9D">
            <w:pPr>
              <w:shd w:val="clear" w:color="auto" w:fill="FFFFFF"/>
              <w:textAlignment w:val="baseline"/>
            </w:pPr>
          </w:p>
          <w:p w14:paraId="4C046805" w14:textId="77777777" w:rsidR="00543E9D" w:rsidRDefault="00543E9D" w:rsidP="00543E9D">
            <w:pPr>
              <w:shd w:val="clear" w:color="auto" w:fill="FFFFFF"/>
              <w:textAlignment w:val="baseline"/>
            </w:pPr>
            <w:r>
              <w:t xml:space="preserve">“Illicit actors, including transnational criminal organizations, engage in human smuggling activity at the U.S. southwest border to reap illicit financial gains, and they do so without regard for the well-being or physical safety of those involved,” said FinCEN Acting Director </w:t>
            </w:r>
            <w:proofErr w:type="spellStart"/>
            <w:r>
              <w:t>Himamauli</w:t>
            </w:r>
            <w:proofErr w:type="spellEnd"/>
            <w:r>
              <w:t xml:space="preserve"> Das. “Financial institutions need to know that their vigilance and prompt Bank Secrecy Act reporting matters—it aids investigations tied to human smuggling and transnational organized </w:t>
            </w:r>
            <w:proofErr w:type="gramStart"/>
            <w:r>
              <w:t>crime, and</w:t>
            </w:r>
            <w:proofErr w:type="gramEnd"/>
            <w:r>
              <w:t xml:space="preserve"> can ultimately save lives.”</w:t>
            </w:r>
          </w:p>
          <w:p w14:paraId="60176780" w14:textId="77777777" w:rsidR="00543E9D" w:rsidRDefault="00543E9D" w:rsidP="00543E9D">
            <w:pPr>
              <w:shd w:val="clear" w:color="auto" w:fill="FFFFFF"/>
              <w:textAlignment w:val="baseline"/>
            </w:pPr>
          </w:p>
          <w:p w14:paraId="7CEA719D" w14:textId="77777777" w:rsidR="00543E9D" w:rsidRDefault="00543E9D" w:rsidP="00543E9D">
            <w:pPr>
              <w:shd w:val="clear" w:color="auto" w:fill="FFFFFF"/>
              <w:textAlignment w:val="baseline"/>
            </w:pPr>
            <w:r>
              <w:t>Human smuggling is one of the eight “Anti-Money Laundering and Countering the Financing of Terrorism National Priorities” identified by FinCEN, in coordination with its interagency partners, pursuant to the Anti-Money Laundering Act of 2020. Illicit actors seeking to make a profit by smuggling migrants across the southwest border have exploited the increasing volume of migration activity. Recent events involving the death of migrants attempting to cross into the United States illustrate the dangers associated with human smuggling and how smuggling networks exploit human beings for profit. According to the U.S. Department of Homeland Security’s Homeland Security Operational Analysis Center, human smuggling along the southwest border of the United States generates an estimated $2 billion to $6 billion in yearly revenue for these illicit actors. In support of ongoing initiatives by the U.S. Government to combat human smuggling, today’s alert builds upon FinCEN’s 2020 and 2014 human smuggling and human trafficking advisories, while providing information specifically related to human smuggling occurring along the southwest border of the United States.</w:t>
            </w:r>
          </w:p>
          <w:p w14:paraId="49158540" w14:textId="77777777" w:rsidR="00543E9D" w:rsidRDefault="00543E9D" w:rsidP="00543E9D">
            <w:pPr>
              <w:shd w:val="clear" w:color="auto" w:fill="FFFFFF"/>
              <w:textAlignment w:val="baseline"/>
            </w:pPr>
          </w:p>
          <w:p w14:paraId="036A8764" w14:textId="77777777" w:rsidR="00B30384" w:rsidRDefault="00543E9D" w:rsidP="00543E9D">
            <w:pPr>
              <w:shd w:val="clear" w:color="auto" w:fill="FFFFFF"/>
              <w:textAlignment w:val="baseline"/>
            </w:pPr>
            <w:r>
              <w:t xml:space="preserve">Financial institutions with questions about the content of today’s alert should contact the FinCEN Regulatory Support Section at </w:t>
            </w:r>
            <w:hyperlink r:id="rId23" w:history="1">
              <w:r w:rsidRPr="006F0192">
                <w:rPr>
                  <w:rStyle w:val="Hyperlink"/>
                </w:rPr>
                <w:t>frc@fincen.gov</w:t>
              </w:r>
            </w:hyperlink>
            <w:r>
              <w:t xml:space="preserve">. </w:t>
            </w:r>
          </w:p>
          <w:p w14:paraId="1B97B8A0" w14:textId="77777777" w:rsidR="00543E9D" w:rsidRDefault="00543E9D" w:rsidP="00543E9D">
            <w:pPr>
              <w:shd w:val="clear" w:color="auto" w:fill="FFFFFF"/>
              <w:textAlignment w:val="baseline"/>
            </w:pPr>
          </w:p>
          <w:p w14:paraId="26929351" w14:textId="522C5844" w:rsidR="00543E9D" w:rsidRDefault="00543E9D" w:rsidP="00543E9D">
            <w:pPr>
              <w:pStyle w:val="NormalWeb"/>
              <w:shd w:val="clear" w:color="auto" w:fill="FFFFFF"/>
              <w:rPr>
                <w:rFonts w:asciiTheme="minorHAnsi" w:hAnsiTheme="minorHAnsi" w:cstheme="minorHAnsi"/>
                <w:b/>
                <w:bCs/>
                <w:i/>
                <w:iCs/>
                <w:color w:val="002060"/>
                <w:sz w:val="22"/>
                <w:szCs w:val="22"/>
              </w:rPr>
            </w:pPr>
            <w:r w:rsidRPr="00154B32">
              <w:rPr>
                <w:rFonts w:asciiTheme="minorHAnsi" w:hAnsiTheme="minorHAnsi" w:cstheme="minorHAnsi"/>
                <w:b/>
                <w:bCs/>
                <w:i/>
                <w:iCs/>
                <w:color w:val="002060"/>
                <w:sz w:val="22"/>
                <w:szCs w:val="22"/>
              </w:rPr>
              <w:t>Comment:</w:t>
            </w:r>
            <w:r w:rsidR="00251FCA">
              <w:rPr>
                <w:rFonts w:asciiTheme="minorHAnsi" w:hAnsiTheme="minorHAnsi" w:cstheme="minorHAnsi"/>
                <w:b/>
                <w:bCs/>
                <w:i/>
                <w:iCs/>
                <w:color w:val="002060"/>
                <w:sz w:val="22"/>
                <w:szCs w:val="22"/>
              </w:rPr>
              <w:t xml:space="preserve"> The Texas Attorney General web site has a page dedicated to </w:t>
            </w:r>
            <w:hyperlink r:id="rId24" w:anchor=":~:text=Person%20seems%20overly%20fearful%2C%20submissive,sexual%20or%20inappropriate%20for%20weather." w:history="1">
              <w:r w:rsidR="00251FCA" w:rsidRPr="00251FCA">
                <w:rPr>
                  <w:rStyle w:val="Hyperlink"/>
                  <w:rFonts w:asciiTheme="minorHAnsi" w:hAnsiTheme="minorHAnsi" w:cstheme="minorHAnsi"/>
                  <w:b/>
                  <w:bCs/>
                  <w:i/>
                  <w:iCs/>
                  <w:sz w:val="22"/>
                  <w:szCs w:val="22"/>
                </w:rPr>
                <w:t>Red Flags for Sex Trafficking</w:t>
              </w:r>
            </w:hyperlink>
            <w:r w:rsidR="00251FCA">
              <w:rPr>
                <w:rFonts w:asciiTheme="minorHAnsi" w:hAnsiTheme="minorHAnsi" w:cstheme="minorHAnsi"/>
                <w:b/>
                <w:bCs/>
                <w:i/>
                <w:iCs/>
                <w:color w:val="002060"/>
                <w:sz w:val="22"/>
                <w:szCs w:val="22"/>
              </w:rPr>
              <w:t xml:space="preserve">. </w:t>
            </w:r>
          </w:p>
          <w:p w14:paraId="0F12E6D5" w14:textId="28D8ADFE" w:rsidR="00543E9D" w:rsidRPr="001E0B8E" w:rsidRDefault="00543E9D" w:rsidP="00543E9D">
            <w:pPr>
              <w:shd w:val="clear" w:color="auto" w:fill="FFFFFF"/>
              <w:textAlignment w:val="baseline"/>
            </w:pPr>
          </w:p>
        </w:tc>
      </w:tr>
    </w:tbl>
    <w:p w14:paraId="1DDD0CDB" w14:textId="270F550C" w:rsidR="00AC1F42" w:rsidRPr="001E0B8E" w:rsidRDefault="00AC1F42"/>
    <w:p w14:paraId="0E392223" w14:textId="17B4C8EB" w:rsidR="001D488F" w:rsidRPr="001E0B8E" w:rsidRDefault="000015D0">
      <w:pPr>
        <w:rPr>
          <w:rFonts w:cstheme="minorHAnsi"/>
          <w:b/>
          <w:bCs/>
        </w:rPr>
      </w:pPr>
      <w:r w:rsidRPr="001E0B8E">
        <w:rPr>
          <w:rFonts w:ascii="Verdana" w:hAnsi="Verdana"/>
          <w:b/>
          <w:bCs/>
        </w:rPr>
        <w:t xml:space="preserve">Deposit </w:t>
      </w:r>
      <w:r w:rsidR="00764234" w:rsidRPr="001E0B8E">
        <w:rPr>
          <w:rFonts w:ascii="Verdana" w:hAnsi="Verdana"/>
          <w:b/>
          <w:bCs/>
        </w:rPr>
        <w:t xml:space="preserve">/ Retail </w:t>
      </w:r>
      <w:r w:rsidRPr="001E0B8E">
        <w:rPr>
          <w:rFonts w:ascii="Verdana" w:hAnsi="Verdana"/>
          <w:b/>
          <w:bCs/>
        </w:rPr>
        <w:t>Operations</w:t>
      </w:r>
    </w:p>
    <w:tbl>
      <w:tblPr>
        <w:tblStyle w:val="TableGrid"/>
        <w:tblW w:w="0" w:type="auto"/>
        <w:tblLook w:val="04A0" w:firstRow="1" w:lastRow="0" w:firstColumn="1" w:lastColumn="0" w:noHBand="0" w:noVBand="1"/>
      </w:tblPr>
      <w:tblGrid>
        <w:gridCol w:w="985"/>
        <w:gridCol w:w="8365"/>
      </w:tblGrid>
      <w:tr w:rsidR="000829A5" w:rsidRPr="001E0B8E" w14:paraId="41644271" w14:textId="77777777" w:rsidTr="00F9384F">
        <w:tc>
          <w:tcPr>
            <w:tcW w:w="985" w:type="dxa"/>
            <w:shd w:val="clear" w:color="auto" w:fill="00B050"/>
          </w:tcPr>
          <w:p w14:paraId="7579B122" w14:textId="77777777" w:rsidR="000829A5" w:rsidRPr="001E0B8E" w:rsidRDefault="000829A5" w:rsidP="0019152D">
            <w:pPr>
              <w:rPr>
                <w:rFonts w:cstheme="minorHAnsi"/>
              </w:rPr>
            </w:pPr>
          </w:p>
        </w:tc>
        <w:tc>
          <w:tcPr>
            <w:tcW w:w="8365" w:type="dxa"/>
          </w:tcPr>
          <w:p w14:paraId="277BE9DA" w14:textId="77777777" w:rsidR="002B4A9D" w:rsidRDefault="00F9384F" w:rsidP="002B4A9D">
            <w:pPr>
              <w:rPr>
                <w:rFonts w:cstheme="minorHAnsi"/>
              </w:rPr>
            </w:pPr>
            <w:r w:rsidRPr="00F9384F">
              <w:rPr>
                <w:rFonts w:cstheme="minorHAnsi"/>
                <w:b/>
                <w:bCs/>
              </w:rPr>
              <w:t>FTC</w:t>
            </w:r>
            <w:r>
              <w:rPr>
                <w:rFonts w:cstheme="minorHAnsi"/>
              </w:rPr>
              <w:t xml:space="preserve"> </w:t>
            </w:r>
            <w:hyperlink r:id="rId25" w:history="1">
              <w:r w:rsidRPr="00F9384F">
                <w:rPr>
                  <w:rStyle w:val="Hyperlink"/>
                  <w:rFonts w:cstheme="minorHAnsi"/>
                </w:rPr>
                <w:t>Don’t Answer Another Online Quiz Question Until You Read This</w:t>
              </w:r>
            </w:hyperlink>
            <w:r>
              <w:rPr>
                <w:rFonts w:cstheme="minorHAnsi"/>
              </w:rPr>
              <w:t xml:space="preserve"> (01/11/2023) - </w:t>
            </w:r>
            <w:r w:rsidRPr="00F9384F">
              <w:rPr>
                <w:rFonts w:cstheme="minorHAnsi"/>
              </w:rPr>
              <w:t>What do the model of your first car, your favorite hobby, and the high school you attended have in common? If you said they’re questions commonly used for online account security and online quizzes, you’re correct! Before you take a quiz to find out which Marvel character you are, ask yourself: Do I know who’s gathering this information about me — or what they plan to do with it?</w:t>
            </w:r>
          </w:p>
          <w:p w14:paraId="0CD5A1C4" w14:textId="77777777" w:rsidR="00F9384F" w:rsidRDefault="00F9384F" w:rsidP="002B4A9D">
            <w:pPr>
              <w:rPr>
                <w:rFonts w:cstheme="minorHAnsi"/>
              </w:rPr>
            </w:pPr>
          </w:p>
          <w:p w14:paraId="0425B2E5" w14:textId="16A1CFCF" w:rsidR="00F9384F" w:rsidRDefault="00F9384F" w:rsidP="00F9384F">
            <w:pPr>
              <w:pStyle w:val="NormalWeb"/>
              <w:shd w:val="clear" w:color="auto" w:fill="FFFFFF"/>
              <w:rPr>
                <w:rFonts w:asciiTheme="minorHAnsi" w:hAnsiTheme="minorHAnsi" w:cstheme="minorHAnsi"/>
                <w:b/>
                <w:bCs/>
                <w:i/>
                <w:iCs/>
                <w:color w:val="002060"/>
                <w:sz w:val="22"/>
                <w:szCs w:val="22"/>
              </w:rPr>
            </w:pPr>
            <w:r w:rsidRPr="00154B32">
              <w:rPr>
                <w:rFonts w:asciiTheme="minorHAnsi" w:hAnsiTheme="minorHAnsi" w:cstheme="minorHAnsi"/>
                <w:b/>
                <w:bCs/>
                <w:i/>
                <w:iCs/>
                <w:color w:val="002060"/>
                <w:sz w:val="22"/>
                <w:szCs w:val="22"/>
              </w:rPr>
              <w:t>Comment:</w:t>
            </w:r>
            <w:r w:rsidR="00251FCA">
              <w:rPr>
                <w:rFonts w:asciiTheme="minorHAnsi" w:hAnsiTheme="minorHAnsi" w:cstheme="minorHAnsi"/>
                <w:b/>
                <w:bCs/>
                <w:i/>
                <w:iCs/>
                <w:color w:val="002060"/>
                <w:sz w:val="22"/>
                <w:szCs w:val="22"/>
              </w:rPr>
              <w:t xml:space="preserve"> </w:t>
            </w:r>
            <w:r w:rsidR="00D84B09">
              <w:rPr>
                <w:rFonts w:asciiTheme="minorHAnsi" w:hAnsiTheme="minorHAnsi" w:cstheme="minorHAnsi"/>
                <w:b/>
                <w:bCs/>
                <w:i/>
                <w:iCs/>
                <w:color w:val="002060"/>
                <w:sz w:val="22"/>
                <w:szCs w:val="22"/>
              </w:rPr>
              <w:t xml:space="preserve">The bad actors are seeking nuggets of information they can later use to either steal an individual’s identity or to fabricate an entirely new identity.  </w:t>
            </w:r>
            <w:r w:rsidR="00251FCA">
              <w:rPr>
                <w:rFonts w:asciiTheme="minorHAnsi" w:hAnsiTheme="minorHAnsi" w:cstheme="minorHAnsi"/>
                <w:b/>
                <w:bCs/>
                <w:i/>
                <w:iCs/>
                <w:color w:val="002060"/>
                <w:sz w:val="22"/>
                <w:szCs w:val="22"/>
              </w:rPr>
              <w:t xml:space="preserve">Consumer materials from the FTC are </w:t>
            </w:r>
            <w:r w:rsidR="00D84B09">
              <w:rPr>
                <w:rFonts w:asciiTheme="minorHAnsi" w:hAnsiTheme="minorHAnsi" w:cstheme="minorHAnsi"/>
                <w:b/>
                <w:bCs/>
                <w:i/>
                <w:iCs/>
                <w:color w:val="002060"/>
                <w:sz w:val="22"/>
                <w:szCs w:val="22"/>
              </w:rPr>
              <w:t xml:space="preserve">good for posting on the bank’s web site. </w:t>
            </w:r>
          </w:p>
          <w:p w14:paraId="588D578B" w14:textId="57C71DF8" w:rsidR="00F9384F" w:rsidRPr="00F9384F" w:rsidRDefault="00F9384F" w:rsidP="002B4A9D">
            <w:pPr>
              <w:rPr>
                <w:rFonts w:cstheme="minorHAnsi"/>
              </w:rPr>
            </w:pPr>
          </w:p>
        </w:tc>
      </w:tr>
    </w:tbl>
    <w:p w14:paraId="5BB3FAA9" w14:textId="5B597A23" w:rsidR="000015D0" w:rsidRPr="001E0B8E" w:rsidRDefault="000015D0">
      <w:pPr>
        <w:rPr>
          <w:rFonts w:ascii="Verdana" w:hAnsi="Verdana"/>
          <w:b/>
          <w:bCs/>
        </w:rPr>
      </w:pPr>
    </w:p>
    <w:p w14:paraId="79A26B60" w14:textId="77777777" w:rsidR="00AC1F42" w:rsidRPr="001E0B8E" w:rsidRDefault="00AC1F42" w:rsidP="00AC1F42">
      <w:pPr>
        <w:rPr>
          <w:rFonts w:ascii="Verdana" w:hAnsi="Verdana"/>
          <w:b/>
          <w:bCs/>
        </w:rPr>
      </w:pPr>
      <w:r w:rsidRPr="001E0B8E">
        <w:rPr>
          <w:rFonts w:ascii="Verdana" w:hAnsi="Verdana"/>
          <w:b/>
          <w:bCs/>
        </w:rPr>
        <w:t>Human Resources</w:t>
      </w:r>
    </w:p>
    <w:tbl>
      <w:tblPr>
        <w:tblStyle w:val="TableGrid"/>
        <w:tblW w:w="0" w:type="auto"/>
        <w:tblLook w:val="04A0" w:firstRow="1" w:lastRow="0" w:firstColumn="1" w:lastColumn="0" w:noHBand="0" w:noVBand="1"/>
      </w:tblPr>
      <w:tblGrid>
        <w:gridCol w:w="985"/>
        <w:gridCol w:w="8365"/>
      </w:tblGrid>
      <w:tr w:rsidR="00BF315E" w:rsidRPr="001E0B8E" w14:paraId="0AB56295" w14:textId="77777777" w:rsidTr="00494CF2">
        <w:tc>
          <w:tcPr>
            <w:tcW w:w="985" w:type="dxa"/>
            <w:shd w:val="clear" w:color="auto" w:fill="FFFF00"/>
          </w:tcPr>
          <w:p w14:paraId="01AB86D6" w14:textId="77777777" w:rsidR="00BF315E" w:rsidRPr="00A735DB" w:rsidRDefault="00BF315E" w:rsidP="00215448"/>
        </w:tc>
        <w:tc>
          <w:tcPr>
            <w:tcW w:w="8365" w:type="dxa"/>
          </w:tcPr>
          <w:p w14:paraId="2C606FFF" w14:textId="4E222DCC" w:rsidR="00494CF2" w:rsidRPr="004E0401" w:rsidRDefault="00494CF2" w:rsidP="00494CF2">
            <w:pPr>
              <w:shd w:val="clear" w:color="auto" w:fill="FFFFFF"/>
              <w:tabs>
                <w:tab w:val="left" w:pos="5790"/>
              </w:tabs>
              <w:textAlignment w:val="baseline"/>
              <w:rPr>
                <w:rFonts w:cstheme="minorHAnsi"/>
                <w:b/>
                <w:bCs/>
                <w:i/>
                <w:iCs/>
              </w:rPr>
            </w:pPr>
          </w:p>
        </w:tc>
      </w:tr>
    </w:tbl>
    <w:p w14:paraId="12AF805C" w14:textId="7522E3B5" w:rsidR="00AC1F42" w:rsidRPr="001E0B8E" w:rsidRDefault="00AC1F42">
      <w:pPr>
        <w:rPr>
          <w:rFonts w:ascii="Verdana" w:hAnsi="Verdana"/>
          <w:b/>
          <w:bCs/>
        </w:rPr>
      </w:pPr>
    </w:p>
    <w:p w14:paraId="6F291F0F" w14:textId="77777777" w:rsidR="00AC1F42" w:rsidRPr="001E0B8E" w:rsidRDefault="00AC1F42" w:rsidP="00AC1F42">
      <w:pPr>
        <w:rPr>
          <w:rFonts w:ascii="Verdana" w:hAnsi="Verdana"/>
          <w:b/>
          <w:bCs/>
        </w:rPr>
      </w:pPr>
      <w:r w:rsidRPr="001E0B8E">
        <w:rPr>
          <w:rFonts w:ascii="Verdana" w:hAnsi="Verdana"/>
          <w:b/>
          <w:bCs/>
        </w:rPr>
        <w:t>Lending</w:t>
      </w:r>
    </w:p>
    <w:tbl>
      <w:tblPr>
        <w:tblStyle w:val="TableGrid"/>
        <w:tblW w:w="0" w:type="auto"/>
        <w:tblLook w:val="04A0" w:firstRow="1" w:lastRow="0" w:firstColumn="1" w:lastColumn="0" w:noHBand="0" w:noVBand="1"/>
      </w:tblPr>
      <w:tblGrid>
        <w:gridCol w:w="978"/>
        <w:gridCol w:w="8372"/>
      </w:tblGrid>
      <w:tr w:rsidR="007A622A" w:rsidRPr="001E0B8E" w14:paraId="61F8FBEF" w14:textId="77777777" w:rsidTr="007A622A">
        <w:tc>
          <w:tcPr>
            <w:tcW w:w="978" w:type="dxa"/>
            <w:shd w:val="clear" w:color="auto" w:fill="FFFF00"/>
          </w:tcPr>
          <w:p w14:paraId="64E69207" w14:textId="77777777" w:rsidR="007A622A" w:rsidRPr="001E0B8E" w:rsidRDefault="007A622A" w:rsidP="00EE3D72">
            <w:pPr>
              <w:tabs>
                <w:tab w:val="left" w:pos="500"/>
              </w:tabs>
              <w:rPr>
                <w:color w:val="00B050"/>
              </w:rPr>
            </w:pPr>
          </w:p>
        </w:tc>
        <w:tc>
          <w:tcPr>
            <w:tcW w:w="8372" w:type="dxa"/>
          </w:tcPr>
          <w:p w14:paraId="12C6882A" w14:textId="5327809F" w:rsidR="007A622A" w:rsidRPr="007A622A" w:rsidRDefault="007A622A" w:rsidP="007A622A">
            <w:pPr>
              <w:rPr>
                <w:rFonts w:cstheme="minorHAnsi"/>
              </w:rPr>
            </w:pPr>
            <w:r w:rsidRPr="007A622A">
              <w:rPr>
                <w:rFonts w:cstheme="minorHAnsi"/>
                <w:b/>
                <w:bCs/>
              </w:rPr>
              <w:t>OCC</w:t>
            </w:r>
            <w:r w:rsidRPr="007A622A">
              <w:rPr>
                <w:rFonts w:cstheme="minorHAnsi"/>
              </w:rPr>
              <w:t xml:space="preserve"> </w:t>
            </w:r>
            <w:hyperlink r:id="rId26" w:history="1">
              <w:r w:rsidRPr="007A622A">
                <w:rPr>
                  <w:rStyle w:val="Hyperlink"/>
                  <w:rFonts w:cstheme="minorHAnsi"/>
                </w:rPr>
                <w:t>Fair Lending: Revised Comptroller’s Handbook Booklet and Rescissions</w:t>
              </w:r>
            </w:hyperlink>
            <w:r>
              <w:rPr>
                <w:rFonts w:cstheme="minorHAnsi"/>
              </w:rPr>
              <w:t xml:space="preserve"> (01/12/2023) - </w:t>
            </w:r>
            <w:r w:rsidRPr="007A622A">
              <w:rPr>
                <w:rFonts w:cstheme="minorHAnsi"/>
              </w:rPr>
              <w:t>The Office of the Comptroller of the Currency (OCC) today issued version 1.0 of the “Fair Lending” booklet of the Comptroller’s Handbook. This booklet provides information and examination procedures to assist OCC examiners in assessing fair lending risk and evaluating compliance with the Fair Housing Act, Equal Credit Opportunity Act, and Regulation B, the consumer protection regulation that implements the Equal Credit Opportunity Act.</w:t>
            </w:r>
          </w:p>
          <w:p w14:paraId="65627CE9" w14:textId="77777777" w:rsidR="007A622A" w:rsidRPr="007A622A" w:rsidRDefault="007A622A" w:rsidP="007A622A">
            <w:pPr>
              <w:rPr>
                <w:rFonts w:cstheme="minorHAnsi"/>
              </w:rPr>
            </w:pPr>
          </w:p>
          <w:p w14:paraId="0E5EE5B1" w14:textId="77777777" w:rsidR="007A622A" w:rsidRPr="007A622A" w:rsidRDefault="007A622A" w:rsidP="007A622A">
            <w:pPr>
              <w:rPr>
                <w:rFonts w:cstheme="minorHAnsi"/>
              </w:rPr>
            </w:pPr>
            <w:r w:rsidRPr="007A622A">
              <w:rPr>
                <w:rFonts w:cstheme="minorHAnsi"/>
              </w:rPr>
              <w:t>Rescissions</w:t>
            </w:r>
          </w:p>
          <w:p w14:paraId="699E721E" w14:textId="77777777" w:rsidR="007A622A" w:rsidRPr="007A622A" w:rsidRDefault="007A622A" w:rsidP="007A622A">
            <w:pPr>
              <w:rPr>
                <w:rFonts w:cstheme="minorHAnsi"/>
              </w:rPr>
            </w:pPr>
            <w:r w:rsidRPr="007A622A">
              <w:rPr>
                <w:rFonts w:cstheme="minorHAnsi"/>
              </w:rPr>
              <w:t>The revised booklet replaces the booklet of the same title issued in January 2010. Also rescinded is OCC Bulletin 2010-4, “Compliance Policy: Fair Lending – Revised Booklet,” which transmitted the prior version of this booklet.</w:t>
            </w:r>
          </w:p>
          <w:p w14:paraId="7E8CD94A" w14:textId="77777777" w:rsidR="007A622A" w:rsidRPr="007A622A" w:rsidRDefault="007A622A" w:rsidP="007A622A">
            <w:pPr>
              <w:rPr>
                <w:rFonts w:cstheme="minorHAnsi"/>
              </w:rPr>
            </w:pPr>
          </w:p>
          <w:p w14:paraId="7C78D767" w14:textId="77777777" w:rsidR="007A622A" w:rsidRPr="007A622A" w:rsidRDefault="007A622A" w:rsidP="007A622A">
            <w:pPr>
              <w:rPr>
                <w:rFonts w:cstheme="minorHAnsi"/>
              </w:rPr>
            </w:pPr>
            <w:r w:rsidRPr="007A622A">
              <w:rPr>
                <w:rFonts w:cstheme="minorHAnsi"/>
              </w:rPr>
              <w:t>Note for Community Banks</w:t>
            </w:r>
          </w:p>
          <w:p w14:paraId="42EC7D6F" w14:textId="77777777" w:rsidR="007A622A" w:rsidRPr="007A622A" w:rsidRDefault="007A622A" w:rsidP="007A622A">
            <w:pPr>
              <w:rPr>
                <w:rFonts w:cstheme="minorHAnsi"/>
              </w:rPr>
            </w:pPr>
            <w:r w:rsidRPr="007A622A">
              <w:rPr>
                <w:rFonts w:cstheme="minorHAnsi"/>
              </w:rPr>
              <w:t>The “Fair Lending” booklet applies to the OCC’s supervision of community banks.1</w:t>
            </w:r>
          </w:p>
          <w:p w14:paraId="0594DE46" w14:textId="77777777" w:rsidR="007A622A" w:rsidRPr="007A622A" w:rsidRDefault="007A622A" w:rsidP="007A622A">
            <w:pPr>
              <w:rPr>
                <w:rFonts w:cstheme="minorHAnsi"/>
              </w:rPr>
            </w:pPr>
          </w:p>
          <w:p w14:paraId="3B1FD9D4" w14:textId="77777777" w:rsidR="007A622A" w:rsidRPr="007A622A" w:rsidRDefault="007A622A" w:rsidP="007A622A">
            <w:pPr>
              <w:rPr>
                <w:rFonts w:cstheme="minorHAnsi"/>
              </w:rPr>
            </w:pPr>
            <w:r w:rsidRPr="007A622A">
              <w:rPr>
                <w:rFonts w:cstheme="minorHAnsi"/>
              </w:rPr>
              <w:t>Highlights</w:t>
            </w:r>
          </w:p>
          <w:p w14:paraId="4FF46EE9" w14:textId="77777777" w:rsidR="007A622A" w:rsidRPr="00B84C0E" w:rsidRDefault="007A622A" w:rsidP="00B84C0E">
            <w:pPr>
              <w:pStyle w:val="ListParagraph"/>
              <w:numPr>
                <w:ilvl w:val="0"/>
                <w:numId w:val="4"/>
              </w:numPr>
              <w:rPr>
                <w:rFonts w:cstheme="minorHAnsi"/>
              </w:rPr>
            </w:pPr>
            <w:r w:rsidRPr="00B84C0E">
              <w:rPr>
                <w:rFonts w:cstheme="minorHAnsi"/>
              </w:rPr>
              <w:t>The revised booklet</w:t>
            </w:r>
          </w:p>
          <w:p w14:paraId="6F4FB2C3" w14:textId="77777777" w:rsidR="007A622A" w:rsidRPr="007A622A" w:rsidRDefault="007A622A" w:rsidP="007A622A">
            <w:pPr>
              <w:rPr>
                <w:rFonts w:cstheme="minorHAnsi"/>
              </w:rPr>
            </w:pPr>
          </w:p>
          <w:p w14:paraId="5F89E60A" w14:textId="77777777" w:rsidR="007A622A" w:rsidRPr="00B84C0E" w:rsidRDefault="007A622A" w:rsidP="00B84C0E">
            <w:pPr>
              <w:pStyle w:val="ListParagraph"/>
              <w:numPr>
                <w:ilvl w:val="0"/>
                <w:numId w:val="4"/>
              </w:numPr>
              <w:rPr>
                <w:rFonts w:cstheme="minorHAnsi"/>
              </w:rPr>
            </w:pPr>
            <w:r w:rsidRPr="00B84C0E">
              <w:rPr>
                <w:rFonts w:cstheme="minorHAnsi"/>
              </w:rPr>
              <w:t>reflects changes to laws and regulations since this booklet was last published.</w:t>
            </w:r>
          </w:p>
          <w:p w14:paraId="484AE992" w14:textId="77777777" w:rsidR="007A622A" w:rsidRPr="00B84C0E" w:rsidRDefault="007A622A" w:rsidP="00B84C0E">
            <w:pPr>
              <w:pStyle w:val="ListParagraph"/>
              <w:numPr>
                <w:ilvl w:val="0"/>
                <w:numId w:val="4"/>
              </w:numPr>
              <w:rPr>
                <w:rFonts w:cstheme="minorHAnsi"/>
              </w:rPr>
            </w:pPr>
            <w:r w:rsidRPr="00B84C0E">
              <w:rPr>
                <w:rFonts w:cstheme="minorHAnsi"/>
              </w:rPr>
              <w:t>reflects the current OCC approach to fair lending examinations.</w:t>
            </w:r>
          </w:p>
          <w:p w14:paraId="7CEF5B01" w14:textId="77777777" w:rsidR="007A622A" w:rsidRPr="00B84C0E" w:rsidRDefault="007A622A" w:rsidP="00B84C0E">
            <w:pPr>
              <w:pStyle w:val="ListParagraph"/>
              <w:numPr>
                <w:ilvl w:val="0"/>
                <w:numId w:val="4"/>
              </w:numPr>
              <w:rPr>
                <w:rFonts w:cstheme="minorHAnsi"/>
              </w:rPr>
            </w:pPr>
            <w:r w:rsidRPr="00B84C0E">
              <w:rPr>
                <w:rFonts w:cstheme="minorHAnsi"/>
              </w:rPr>
              <w:t>includes new and clarified details on examination scenarios.</w:t>
            </w:r>
          </w:p>
          <w:p w14:paraId="058334D2" w14:textId="77777777" w:rsidR="007A622A" w:rsidRPr="00B84C0E" w:rsidRDefault="007A622A" w:rsidP="00B84C0E">
            <w:pPr>
              <w:pStyle w:val="ListParagraph"/>
              <w:numPr>
                <w:ilvl w:val="0"/>
                <w:numId w:val="4"/>
              </w:numPr>
              <w:rPr>
                <w:rFonts w:cstheme="minorHAnsi"/>
              </w:rPr>
            </w:pPr>
            <w:r w:rsidRPr="00B84C0E">
              <w:rPr>
                <w:rFonts w:cstheme="minorHAnsi"/>
              </w:rPr>
              <w:t>includes clarified and expanded risk factors for a variety of examination types.</w:t>
            </w:r>
          </w:p>
          <w:p w14:paraId="158E0EB8" w14:textId="77777777" w:rsidR="007A622A" w:rsidRPr="00B84C0E" w:rsidRDefault="007A622A" w:rsidP="00B84C0E">
            <w:pPr>
              <w:pStyle w:val="ListParagraph"/>
              <w:numPr>
                <w:ilvl w:val="0"/>
                <w:numId w:val="4"/>
              </w:numPr>
              <w:rPr>
                <w:rFonts w:cstheme="minorHAnsi"/>
              </w:rPr>
            </w:pPr>
            <w:r w:rsidRPr="00B84C0E">
              <w:rPr>
                <w:rFonts w:cstheme="minorHAnsi"/>
              </w:rPr>
              <w:t>includes clarifying edits regarding supervisory guidance, sound risk management practices, and applicable legal standards.</w:t>
            </w:r>
          </w:p>
          <w:p w14:paraId="3EA44797" w14:textId="77777777" w:rsidR="007A622A" w:rsidRPr="00B84C0E" w:rsidRDefault="007A622A" w:rsidP="00B84C0E">
            <w:pPr>
              <w:pStyle w:val="ListParagraph"/>
              <w:numPr>
                <w:ilvl w:val="0"/>
                <w:numId w:val="4"/>
              </w:numPr>
              <w:rPr>
                <w:rFonts w:cstheme="minorHAnsi"/>
              </w:rPr>
            </w:pPr>
            <w:r w:rsidRPr="00B84C0E">
              <w:rPr>
                <w:rFonts w:cstheme="minorHAnsi"/>
              </w:rPr>
              <w:t>revises certain content for clarity.</w:t>
            </w:r>
          </w:p>
          <w:p w14:paraId="2B14D4C5" w14:textId="77777777" w:rsidR="007A622A" w:rsidRDefault="007A622A" w:rsidP="007A622A">
            <w:pPr>
              <w:rPr>
                <w:rFonts w:cstheme="minorHAnsi"/>
              </w:rPr>
            </w:pPr>
          </w:p>
          <w:p w14:paraId="11127FF6" w14:textId="090A3A9E" w:rsidR="00B84C0E" w:rsidRDefault="00B84C0E" w:rsidP="00B84C0E">
            <w:pPr>
              <w:rPr>
                <w:rFonts w:cstheme="minorHAnsi"/>
                <w:b/>
                <w:bCs/>
                <w:i/>
                <w:iCs/>
                <w:color w:val="002060"/>
              </w:rPr>
            </w:pPr>
            <w:r w:rsidRPr="002759C4">
              <w:rPr>
                <w:rFonts w:cstheme="minorHAnsi"/>
                <w:b/>
                <w:bCs/>
                <w:i/>
                <w:iCs/>
                <w:color w:val="002060"/>
              </w:rPr>
              <w:t>Comment:</w:t>
            </w:r>
            <w:r w:rsidR="00797EAC">
              <w:rPr>
                <w:rFonts w:cstheme="minorHAnsi"/>
                <w:b/>
                <w:bCs/>
                <w:i/>
                <w:iCs/>
                <w:color w:val="002060"/>
              </w:rPr>
              <w:t xml:space="preserve"> Whether your bank is a national bank or not, the OCC materials lend insight i</w:t>
            </w:r>
            <w:r w:rsidR="008D544E">
              <w:rPr>
                <w:rFonts w:cstheme="minorHAnsi"/>
                <w:b/>
                <w:bCs/>
                <w:i/>
                <w:iCs/>
                <w:color w:val="002060"/>
              </w:rPr>
              <w:t xml:space="preserve">nto the regulatory thought process.  In December 2022, </w:t>
            </w:r>
            <w:proofErr w:type="spellStart"/>
            <w:r w:rsidR="008D544E" w:rsidRPr="008D544E">
              <w:rPr>
                <w:rFonts w:cstheme="minorHAnsi"/>
                <w:b/>
                <w:bCs/>
                <w:i/>
                <w:iCs/>
                <w:color w:val="002060"/>
              </w:rPr>
              <w:t>Grovetta</w:t>
            </w:r>
            <w:proofErr w:type="spellEnd"/>
            <w:r w:rsidR="008D544E" w:rsidRPr="008D544E">
              <w:rPr>
                <w:rFonts w:cstheme="minorHAnsi"/>
                <w:b/>
                <w:bCs/>
                <w:i/>
                <w:iCs/>
                <w:color w:val="002060"/>
              </w:rPr>
              <w:t xml:space="preserve"> </w:t>
            </w:r>
            <w:proofErr w:type="spellStart"/>
            <w:r w:rsidR="008D544E" w:rsidRPr="008D544E">
              <w:rPr>
                <w:rFonts w:cstheme="minorHAnsi"/>
                <w:b/>
                <w:bCs/>
                <w:i/>
                <w:iCs/>
                <w:color w:val="002060"/>
              </w:rPr>
              <w:t>Gardineer</w:t>
            </w:r>
            <w:proofErr w:type="spellEnd"/>
            <w:r w:rsidR="008D544E" w:rsidRPr="008D544E">
              <w:rPr>
                <w:rFonts w:cstheme="minorHAnsi"/>
                <w:b/>
                <w:bCs/>
                <w:i/>
                <w:iCs/>
                <w:color w:val="002060"/>
              </w:rPr>
              <w:t xml:space="preserve">, Senior </w:t>
            </w:r>
            <w:r w:rsidR="008D544E" w:rsidRPr="008D544E">
              <w:rPr>
                <w:rFonts w:cstheme="minorHAnsi"/>
                <w:b/>
                <w:bCs/>
                <w:i/>
                <w:iCs/>
                <w:color w:val="002060"/>
              </w:rPr>
              <w:lastRenderedPageBreak/>
              <w:t xml:space="preserve">Deputy Comptroller for Bank Supervision Policy at the Office of the Comptroller of the Currency, </w:t>
            </w:r>
            <w:hyperlink r:id="rId27" w:history="1">
              <w:r w:rsidR="008D544E" w:rsidRPr="008D544E">
                <w:rPr>
                  <w:rStyle w:val="Hyperlink"/>
                  <w:rFonts w:cstheme="minorHAnsi"/>
                  <w:b/>
                  <w:bCs/>
                  <w:i/>
                  <w:iCs/>
                </w:rPr>
                <w:t>discussed</w:t>
              </w:r>
            </w:hyperlink>
            <w:r w:rsidR="008D544E" w:rsidRPr="008D544E">
              <w:rPr>
                <w:rFonts w:cstheme="minorHAnsi"/>
                <w:b/>
                <w:bCs/>
                <w:i/>
                <w:iCs/>
                <w:color w:val="002060"/>
              </w:rPr>
              <w:t xml:space="preserve"> the OCC’s current fair lending initiatives.  Her remarks were intended to convey the message that the OCC is “laser focused on fair lending” and considers fair lending compliance to be an important component of safety and soundness.</w:t>
            </w:r>
          </w:p>
          <w:p w14:paraId="7C7CFCBE" w14:textId="3F5B428C" w:rsidR="007A622A" w:rsidRPr="007A622A" w:rsidRDefault="007A622A" w:rsidP="007A622A">
            <w:pPr>
              <w:rPr>
                <w:rFonts w:cstheme="minorHAnsi"/>
              </w:rPr>
            </w:pPr>
          </w:p>
        </w:tc>
      </w:tr>
      <w:tr w:rsidR="007A622A" w:rsidRPr="001E0B8E" w14:paraId="5B3A7402" w14:textId="77777777" w:rsidTr="007A622A">
        <w:tc>
          <w:tcPr>
            <w:tcW w:w="978" w:type="dxa"/>
            <w:shd w:val="clear" w:color="auto" w:fill="auto"/>
          </w:tcPr>
          <w:p w14:paraId="3BCDBE55" w14:textId="77777777" w:rsidR="007A622A" w:rsidRPr="001E0B8E" w:rsidRDefault="007A622A" w:rsidP="00EE3D72">
            <w:pPr>
              <w:tabs>
                <w:tab w:val="left" w:pos="500"/>
              </w:tabs>
              <w:rPr>
                <w:color w:val="00B050"/>
              </w:rPr>
            </w:pPr>
          </w:p>
        </w:tc>
        <w:tc>
          <w:tcPr>
            <w:tcW w:w="8372" w:type="dxa"/>
          </w:tcPr>
          <w:p w14:paraId="5F0B9AB1" w14:textId="77777777" w:rsidR="007A622A" w:rsidRPr="00926057" w:rsidRDefault="007A622A" w:rsidP="00926057">
            <w:pPr>
              <w:rPr>
                <w:rFonts w:cstheme="minorHAnsi"/>
                <w:b/>
                <w:bCs/>
              </w:rPr>
            </w:pPr>
          </w:p>
        </w:tc>
      </w:tr>
      <w:tr w:rsidR="00154B32" w:rsidRPr="001E0B8E" w14:paraId="32FFEF9D" w14:textId="77777777" w:rsidTr="00A65700">
        <w:tc>
          <w:tcPr>
            <w:tcW w:w="978" w:type="dxa"/>
            <w:shd w:val="clear" w:color="auto" w:fill="00B050"/>
          </w:tcPr>
          <w:p w14:paraId="14F21A7C" w14:textId="77777777" w:rsidR="00154B32" w:rsidRPr="001E0B8E" w:rsidRDefault="00154B32" w:rsidP="00EE3D72">
            <w:pPr>
              <w:tabs>
                <w:tab w:val="left" w:pos="500"/>
              </w:tabs>
              <w:rPr>
                <w:color w:val="00B050"/>
              </w:rPr>
            </w:pPr>
          </w:p>
        </w:tc>
        <w:tc>
          <w:tcPr>
            <w:tcW w:w="8372" w:type="dxa"/>
          </w:tcPr>
          <w:p w14:paraId="4F40EDCF" w14:textId="36E197A5" w:rsidR="00926057" w:rsidRDefault="00154B32" w:rsidP="00926057">
            <w:pPr>
              <w:rPr>
                <w:rFonts w:cstheme="minorHAnsi"/>
              </w:rPr>
            </w:pPr>
            <w:r w:rsidRPr="00926057">
              <w:rPr>
                <w:rFonts w:cstheme="minorHAnsi"/>
                <w:b/>
                <w:bCs/>
              </w:rPr>
              <w:t>CFPB</w:t>
            </w:r>
            <w:r w:rsidRPr="00154B32">
              <w:rPr>
                <w:rFonts w:cstheme="minorHAnsi"/>
              </w:rPr>
              <w:t xml:space="preserve"> </w:t>
            </w:r>
            <w:hyperlink r:id="rId28" w:history="1">
              <w:r w:rsidR="00926057" w:rsidRPr="00926057">
                <w:rPr>
                  <w:rStyle w:val="Hyperlink"/>
                  <w:rFonts w:cstheme="minorHAnsi"/>
                </w:rPr>
                <w:t xml:space="preserve">Servicemember </w:t>
              </w:r>
              <w:r w:rsidR="00926057">
                <w:rPr>
                  <w:rStyle w:val="Hyperlink"/>
                  <w:rFonts w:cstheme="minorHAnsi"/>
                </w:rPr>
                <w:t>R</w:t>
              </w:r>
              <w:r w:rsidR="00926057" w:rsidRPr="00926057">
                <w:rPr>
                  <w:rStyle w:val="Hyperlink"/>
                  <w:rFonts w:cstheme="minorHAnsi"/>
                </w:rPr>
                <w:t xml:space="preserve">eports </w:t>
              </w:r>
              <w:r w:rsidR="00926057">
                <w:rPr>
                  <w:rStyle w:val="Hyperlink"/>
                  <w:rFonts w:cstheme="minorHAnsi"/>
                </w:rPr>
                <w:t>A</w:t>
              </w:r>
              <w:r w:rsidR="00926057" w:rsidRPr="00926057">
                <w:rPr>
                  <w:rStyle w:val="Hyperlink"/>
                  <w:rFonts w:cstheme="minorHAnsi"/>
                </w:rPr>
                <w:t xml:space="preserve">bout </w:t>
              </w:r>
              <w:r w:rsidR="00926057">
                <w:rPr>
                  <w:rStyle w:val="Hyperlink"/>
                  <w:rFonts w:cstheme="minorHAnsi"/>
                </w:rPr>
                <w:t>I</w:t>
              </w:r>
              <w:r w:rsidR="00926057" w:rsidRPr="00926057">
                <w:rPr>
                  <w:rStyle w:val="Hyperlink"/>
                  <w:rFonts w:cstheme="minorHAnsi"/>
                </w:rPr>
                <w:t xml:space="preserve">dentity </w:t>
              </w:r>
              <w:r w:rsidR="00926057">
                <w:rPr>
                  <w:rStyle w:val="Hyperlink"/>
                  <w:rFonts w:cstheme="minorHAnsi"/>
                </w:rPr>
                <w:t>T</w:t>
              </w:r>
              <w:r w:rsidR="00926057" w:rsidRPr="00926057">
                <w:rPr>
                  <w:rStyle w:val="Hyperlink"/>
                  <w:rFonts w:cstheme="minorHAnsi"/>
                </w:rPr>
                <w:t xml:space="preserve">heft are </w:t>
              </w:r>
              <w:r w:rsidR="00926057">
                <w:rPr>
                  <w:rStyle w:val="Hyperlink"/>
                  <w:rFonts w:cstheme="minorHAnsi"/>
                </w:rPr>
                <w:t>I</w:t>
              </w:r>
              <w:r w:rsidR="00926057" w:rsidRPr="00926057">
                <w:rPr>
                  <w:rStyle w:val="Hyperlink"/>
                  <w:rFonts w:cstheme="minorHAnsi"/>
                </w:rPr>
                <w:t>ncreasing</w:t>
              </w:r>
            </w:hyperlink>
            <w:r w:rsidR="00926057">
              <w:rPr>
                <w:rFonts w:cstheme="minorHAnsi"/>
              </w:rPr>
              <w:t xml:space="preserve"> (01/12/2023) - </w:t>
            </w:r>
            <w:r w:rsidR="00926057" w:rsidRPr="00926057">
              <w:rPr>
                <w:rFonts w:cstheme="minorHAnsi"/>
              </w:rPr>
              <w:t>Identity theft can quickly reverse a good credit report, filling it with unknown, maxed-out credit card accounts or collections accounts for mystery debt. It can spell trouble for anyone, but for servicemembers, this negative information on their credit report can lead to loss of a security clearance or even discharge.</w:t>
            </w:r>
          </w:p>
          <w:p w14:paraId="172EED69" w14:textId="77777777" w:rsidR="00926057" w:rsidRPr="00926057" w:rsidRDefault="00926057" w:rsidP="00926057">
            <w:pPr>
              <w:rPr>
                <w:rFonts w:cstheme="minorHAnsi"/>
              </w:rPr>
            </w:pPr>
          </w:p>
          <w:p w14:paraId="08F00AA0" w14:textId="7E569DF9" w:rsidR="00926057" w:rsidRDefault="00926057" w:rsidP="00926057">
            <w:pPr>
              <w:rPr>
                <w:rFonts w:cstheme="minorHAnsi"/>
              </w:rPr>
            </w:pPr>
            <w:r w:rsidRPr="00926057">
              <w:rPr>
                <w:rFonts w:cstheme="minorHAnsi"/>
              </w:rPr>
              <w:t>Complaint data from the CFPB shows that military consumers – including active duty servicemembers, veterans, and military family members – are increasingly reporting debts attributed to identity theft. Between 2014 and 2022, military consumer complaints to the CFPB about debts attributed to identity theft increased nearly fivefold.</w:t>
            </w:r>
          </w:p>
          <w:p w14:paraId="5BF74893" w14:textId="77777777" w:rsidR="00926057" w:rsidRPr="00926057" w:rsidRDefault="00926057" w:rsidP="00926057">
            <w:pPr>
              <w:rPr>
                <w:rFonts w:cstheme="minorHAnsi"/>
              </w:rPr>
            </w:pPr>
          </w:p>
          <w:p w14:paraId="6CFA57DD" w14:textId="77777777" w:rsidR="00154B32" w:rsidRDefault="00926057" w:rsidP="00926057">
            <w:pPr>
              <w:rPr>
                <w:rFonts w:cstheme="minorHAnsi"/>
              </w:rPr>
            </w:pPr>
            <w:r w:rsidRPr="00926057">
              <w:rPr>
                <w:rFonts w:cstheme="minorHAnsi"/>
              </w:rPr>
              <w:t>The CFPB also found that, while consumer reporting companies are required to promptly address identity theft, it’s often a complicated and lengthy process. When credit report inaccuracies are unresolved, the problem can quickly cascade into other challenges for active duty servicemembers.</w:t>
            </w:r>
          </w:p>
          <w:p w14:paraId="1F03E366" w14:textId="77777777" w:rsidR="00926057" w:rsidRDefault="00926057" w:rsidP="00926057">
            <w:pPr>
              <w:rPr>
                <w:rFonts w:cstheme="minorHAnsi"/>
              </w:rPr>
            </w:pPr>
          </w:p>
          <w:p w14:paraId="2BF2EFB5" w14:textId="39CA2F14" w:rsidR="00926057" w:rsidRDefault="00926057" w:rsidP="00926057">
            <w:pPr>
              <w:rPr>
                <w:rFonts w:cstheme="minorHAnsi"/>
                <w:b/>
                <w:bCs/>
                <w:i/>
                <w:iCs/>
                <w:color w:val="002060"/>
              </w:rPr>
            </w:pPr>
            <w:r w:rsidRPr="002759C4">
              <w:rPr>
                <w:rFonts w:cstheme="minorHAnsi"/>
                <w:b/>
                <w:bCs/>
                <w:i/>
                <w:iCs/>
                <w:color w:val="002060"/>
              </w:rPr>
              <w:t>Comment:</w:t>
            </w:r>
            <w:r w:rsidR="00263008">
              <w:rPr>
                <w:rFonts w:cstheme="minorHAnsi"/>
                <w:b/>
                <w:bCs/>
                <w:i/>
                <w:iCs/>
                <w:color w:val="002060"/>
              </w:rPr>
              <w:t xml:space="preserve"> The Fair Credit Reporting Act (FCRA) provides three </w:t>
            </w:r>
            <w:hyperlink r:id="rId29" w:history="1">
              <w:r w:rsidR="00263008" w:rsidRPr="00263008">
                <w:rPr>
                  <w:rStyle w:val="Hyperlink"/>
                  <w:rFonts w:cstheme="minorHAnsi"/>
                  <w:b/>
                  <w:bCs/>
                  <w:i/>
                  <w:iCs/>
                </w:rPr>
                <w:t>types of alerts</w:t>
              </w:r>
            </w:hyperlink>
            <w:r w:rsidR="00263008">
              <w:rPr>
                <w:rFonts w:cstheme="minorHAnsi"/>
                <w:b/>
                <w:bCs/>
                <w:i/>
                <w:iCs/>
                <w:color w:val="002060"/>
              </w:rPr>
              <w:t xml:space="preserve"> a servicemember can use to protect their credit file from potential fraud or identity theft. </w:t>
            </w:r>
          </w:p>
          <w:p w14:paraId="26EED220" w14:textId="3A7EC25B" w:rsidR="00B84C0E" w:rsidRPr="00154B32" w:rsidRDefault="00B84C0E" w:rsidP="00926057">
            <w:pPr>
              <w:rPr>
                <w:rFonts w:cstheme="minorHAnsi"/>
              </w:rPr>
            </w:pPr>
          </w:p>
        </w:tc>
      </w:tr>
      <w:tr w:rsidR="00154B32" w:rsidRPr="001E0B8E" w14:paraId="604E5B04" w14:textId="77777777" w:rsidTr="00154B32">
        <w:tc>
          <w:tcPr>
            <w:tcW w:w="978" w:type="dxa"/>
            <w:shd w:val="clear" w:color="auto" w:fill="auto"/>
          </w:tcPr>
          <w:p w14:paraId="62183704" w14:textId="77777777" w:rsidR="00154B32" w:rsidRPr="001E0B8E" w:rsidRDefault="00154B32" w:rsidP="00EE3D72">
            <w:pPr>
              <w:tabs>
                <w:tab w:val="left" w:pos="500"/>
              </w:tabs>
              <w:rPr>
                <w:color w:val="00B050"/>
              </w:rPr>
            </w:pPr>
          </w:p>
        </w:tc>
        <w:tc>
          <w:tcPr>
            <w:tcW w:w="8372" w:type="dxa"/>
          </w:tcPr>
          <w:p w14:paraId="56038691" w14:textId="77777777" w:rsidR="00154B32" w:rsidRPr="002759C4" w:rsidRDefault="00154B32" w:rsidP="002759C4">
            <w:pPr>
              <w:rPr>
                <w:rFonts w:cstheme="minorHAnsi"/>
                <w:b/>
                <w:bCs/>
              </w:rPr>
            </w:pPr>
          </w:p>
        </w:tc>
      </w:tr>
      <w:tr w:rsidR="007E7744" w:rsidRPr="001E0B8E" w14:paraId="0699AAEB" w14:textId="77777777" w:rsidTr="00A65700">
        <w:tc>
          <w:tcPr>
            <w:tcW w:w="978" w:type="dxa"/>
            <w:shd w:val="clear" w:color="auto" w:fill="00B050"/>
          </w:tcPr>
          <w:p w14:paraId="316E3315" w14:textId="77777777" w:rsidR="007E7744" w:rsidRPr="001E0B8E" w:rsidRDefault="007E7744" w:rsidP="00EE3D72">
            <w:pPr>
              <w:tabs>
                <w:tab w:val="left" w:pos="500"/>
              </w:tabs>
              <w:rPr>
                <w:color w:val="00B050"/>
              </w:rPr>
            </w:pPr>
          </w:p>
        </w:tc>
        <w:tc>
          <w:tcPr>
            <w:tcW w:w="8372" w:type="dxa"/>
          </w:tcPr>
          <w:p w14:paraId="6E4BE160" w14:textId="588160CB" w:rsidR="00A43B1F" w:rsidRDefault="002759C4" w:rsidP="002759C4">
            <w:pPr>
              <w:rPr>
                <w:rFonts w:cstheme="minorHAnsi"/>
              </w:rPr>
            </w:pPr>
            <w:r w:rsidRPr="002759C4">
              <w:rPr>
                <w:rFonts w:cstheme="minorHAnsi"/>
                <w:b/>
                <w:bCs/>
              </w:rPr>
              <w:t>FRB</w:t>
            </w:r>
            <w:r>
              <w:rPr>
                <w:rFonts w:cstheme="minorHAnsi"/>
              </w:rPr>
              <w:t xml:space="preserve"> </w:t>
            </w:r>
            <w:hyperlink r:id="rId30" w:history="1">
              <w:r w:rsidRPr="002759C4">
                <w:rPr>
                  <w:rStyle w:val="Hyperlink"/>
                  <w:rFonts w:cstheme="minorHAnsi"/>
                </w:rPr>
                <w:t>Consumer Credit – G. 19</w:t>
              </w:r>
            </w:hyperlink>
            <w:r>
              <w:rPr>
                <w:rFonts w:cstheme="minorHAnsi"/>
              </w:rPr>
              <w:t xml:space="preserve"> (01/09/2023) - </w:t>
            </w:r>
            <w:r w:rsidRPr="002759C4">
              <w:rPr>
                <w:rFonts w:cstheme="minorHAnsi"/>
              </w:rPr>
              <w:t>In November, consumer credit increased at a seasonally adjusted annual rate of 7.1 percent. Revolving credit increased at an annual rate of 16.9 percent, while nonrevolving credit increased at an annual rate of 3.9 percent.</w:t>
            </w:r>
          </w:p>
          <w:p w14:paraId="00AAC4EF" w14:textId="77777777" w:rsidR="002759C4" w:rsidRDefault="002759C4" w:rsidP="002759C4">
            <w:pPr>
              <w:rPr>
                <w:rFonts w:cstheme="minorHAnsi"/>
              </w:rPr>
            </w:pPr>
          </w:p>
          <w:p w14:paraId="020E47D4" w14:textId="51CD5520" w:rsidR="002759C4" w:rsidRDefault="002759C4" w:rsidP="002759C4">
            <w:pPr>
              <w:rPr>
                <w:rFonts w:cstheme="minorHAnsi"/>
                <w:b/>
                <w:bCs/>
                <w:i/>
                <w:iCs/>
                <w:color w:val="002060"/>
              </w:rPr>
            </w:pPr>
            <w:r w:rsidRPr="002759C4">
              <w:rPr>
                <w:rFonts w:cstheme="minorHAnsi"/>
                <w:b/>
                <w:bCs/>
                <w:i/>
                <w:iCs/>
                <w:color w:val="002060"/>
              </w:rPr>
              <w:t xml:space="preserve">Comment: </w:t>
            </w:r>
            <w:r w:rsidR="00D84B09">
              <w:rPr>
                <w:rFonts w:cstheme="minorHAnsi"/>
                <w:b/>
                <w:bCs/>
                <w:i/>
                <w:iCs/>
                <w:color w:val="002060"/>
              </w:rPr>
              <w:t>SHRM recently f</w:t>
            </w:r>
            <w:r w:rsidR="00D84B09" w:rsidRPr="00D84B09">
              <w:rPr>
                <w:rFonts w:cstheme="minorHAnsi"/>
                <w:b/>
                <w:bCs/>
                <w:i/>
                <w:iCs/>
                <w:color w:val="002060"/>
              </w:rPr>
              <w:t>inancial woes are continuing to impact employees</w:t>
            </w:r>
            <w:r w:rsidR="008B156F">
              <w:rPr>
                <w:rFonts w:cstheme="minorHAnsi"/>
                <w:b/>
                <w:bCs/>
                <w:i/>
                <w:iCs/>
                <w:color w:val="002060"/>
              </w:rPr>
              <w:t xml:space="preserve"> as well</w:t>
            </w:r>
            <w:r w:rsidR="00D84B09" w:rsidRPr="00D84B09">
              <w:rPr>
                <w:rFonts w:cstheme="minorHAnsi"/>
                <w:b/>
                <w:bCs/>
                <w:i/>
                <w:iCs/>
                <w:color w:val="002060"/>
              </w:rPr>
              <w:t>, with scores of workers tapping into their retirement accounts and many more worried about their expenses and savings. More than a quarter of employees have used their retirement accounts to pay for short-term expenses in the past year, research reveals.</w:t>
            </w:r>
          </w:p>
          <w:p w14:paraId="6BAA7D66" w14:textId="781CC068" w:rsidR="00D84B09" w:rsidRPr="002759C4" w:rsidRDefault="00D84B09" w:rsidP="002759C4">
            <w:pPr>
              <w:rPr>
                <w:rFonts w:cstheme="minorHAnsi"/>
                <w:b/>
                <w:bCs/>
                <w:i/>
                <w:iCs/>
              </w:rPr>
            </w:pPr>
          </w:p>
        </w:tc>
      </w:tr>
    </w:tbl>
    <w:p w14:paraId="56869681" w14:textId="0448C788" w:rsidR="00AC1F42" w:rsidRPr="001E0B8E" w:rsidRDefault="00AC1F42">
      <w:pPr>
        <w:rPr>
          <w:rFonts w:ascii="Verdana" w:hAnsi="Verdana"/>
          <w:b/>
          <w:bCs/>
        </w:rPr>
      </w:pPr>
    </w:p>
    <w:p w14:paraId="07F698CF" w14:textId="4F60F86B" w:rsidR="000015D0" w:rsidRPr="001E0B8E" w:rsidRDefault="000015D0">
      <w:pPr>
        <w:rPr>
          <w:rFonts w:ascii="Verdana" w:hAnsi="Verdana"/>
          <w:b/>
          <w:bCs/>
        </w:rPr>
      </w:pPr>
      <w:r w:rsidRPr="001E0B8E">
        <w:rPr>
          <w:rFonts w:ascii="Verdana" w:hAnsi="Verdana"/>
          <w:b/>
          <w:bCs/>
        </w:rPr>
        <w:t>Technology</w:t>
      </w:r>
      <w:r w:rsidR="00FE2C94" w:rsidRPr="001E0B8E">
        <w:rPr>
          <w:rFonts w:ascii="Verdana" w:hAnsi="Verdana"/>
          <w:b/>
          <w:bCs/>
        </w:rPr>
        <w:t xml:space="preserve"> / Security </w:t>
      </w:r>
    </w:p>
    <w:tbl>
      <w:tblPr>
        <w:tblStyle w:val="TableGrid"/>
        <w:tblW w:w="0" w:type="auto"/>
        <w:tblLook w:val="04A0" w:firstRow="1" w:lastRow="0" w:firstColumn="1" w:lastColumn="0" w:noHBand="0" w:noVBand="1"/>
      </w:tblPr>
      <w:tblGrid>
        <w:gridCol w:w="985"/>
        <w:gridCol w:w="8365"/>
      </w:tblGrid>
      <w:tr w:rsidR="009F0CD7" w:rsidRPr="001E0B8E" w14:paraId="29E84FF2" w14:textId="77777777" w:rsidTr="00971DC0">
        <w:tc>
          <w:tcPr>
            <w:tcW w:w="985" w:type="dxa"/>
            <w:shd w:val="clear" w:color="auto" w:fill="FFFF00"/>
          </w:tcPr>
          <w:p w14:paraId="3A727E55" w14:textId="77777777" w:rsidR="009F0CD7" w:rsidRPr="00E00EE3" w:rsidRDefault="009F0CD7" w:rsidP="00E73F7F">
            <w:pPr>
              <w:tabs>
                <w:tab w:val="left" w:pos="480"/>
              </w:tabs>
            </w:pPr>
          </w:p>
        </w:tc>
        <w:tc>
          <w:tcPr>
            <w:tcW w:w="8365" w:type="dxa"/>
          </w:tcPr>
          <w:p w14:paraId="55654A82" w14:textId="4972B740" w:rsidR="00E00EE3" w:rsidRPr="00F9384F" w:rsidRDefault="00E00EE3" w:rsidP="00EF1C9A">
            <w:pPr>
              <w:rPr>
                <w:rFonts w:cstheme="minorHAnsi"/>
              </w:rPr>
            </w:pPr>
          </w:p>
        </w:tc>
      </w:tr>
    </w:tbl>
    <w:p w14:paraId="553C2D7C" w14:textId="00A9CDBC" w:rsidR="000015D0" w:rsidRPr="001E0B8E" w:rsidRDefault="000015D0" w:rsidP="00E73F7F">
      <w:pPr>
        <w:spacing w:after="0" w:line="240" w:lineRule="auto"/>
        <w:rPr>
          <w:rFonts w:ascii="Verdana" w:hAnsi="Verdana"/>
          <w:b/>
          <w:bCs/>
        </w:rPr>
      </w:pPr>
    </w:p>
    <w:p w14:paraId="4807BD9A" w14:textId="77777777" w:rsidR="00DE3A81" w:rsidRPr="001E0B8E" w:rsidRDefault="00DE3A81" w:rsidP="00DE3A81">
      <w:pPr>
        <w:rPr>
          <w:rFonts w:ascii="Verdana" w:hAnsi="Verdana"/>
          <w:b/>
          <w:bCs/>
          <w:color w:val="4472C4" w:themeColor="accent1"/>
          <w:sz w:val="28"/>
          <w:szCs w:val="28"/>
        </w:rPr>
      </w:pPr>
      <w:r w:rsidRPr="001E0B8E">
        <w:rPr>
          <w:rFonts w:ascii="Verdana" w:hAnsi="Verdana"/>
          <w:b/>
          <w:bCs/>
          <w:color w:val="4472C4" w:themeColor="accent1"/>
          <w:sz w:val="28"/>
          <w:szCs w:val="28"/>
        </w:rPr>
        <w:t xml:space="preserve">Selected federal rules – proposed </w:t>
      </w:r>
    </w:p>
    <w:p w14:paraId="6C0194C2" w14:textId="17D4466A" w:rsidR="00DE3A81" w:rsidRPr="001E0B8E" w:rsidRDefault="00DE3A81" w:rsidP="00DE3A81">
      <w:r w:rsidRPr="001E0B8E">
        <w:t>Proposed rules are included only when community banks may want to comment. Date posted may not be the same as the Federal Register Date</w:t>
      </w:r>
      <w:r w:rsidR="000B1F54" w:rsidRPr="001E0B8E">
        <w:t xml:space="preserve">. </w:t>
      </w:r>
    </w:p>
    <w:p w14:paraId="772E74AD" w14:textId="42F23F26" w:rsidR="009E6D74" w:rsidRPr="001E0B8E" w:rsidRDefault="009E6D74" w:rsidP="009E6D74">
      <w:pPr>
        <w:rPr>
          <w:b/>
          <w:bCs/>
        </w:rPr>
      </w:pPr>
      <w:r w:rsidRPr="001E0B8E">
        <w:rPr>
          <w:b/>
          <w:bCs/>
        </w:rPr>
        <w:t>PROPOSED RULE WITH REQUEST FOR PUBLIC COMMENT</w:t>
      </w:r>
    </w:p>
    <w:p w14:paraId="30F6CC86" w14:textId="66A72551" w:rsidR="00C96525" w:rsidRDefault="00713BC1" w:rsidP="00C96525">
      <w:pPr>
        <w:spacing w:after="0" w:line="240" w:lineRule="auto"/>
        <w:rPr>
          <w:rFonts w:ascii="Calibri" w:eastAsia="Calibri" w:hAnsi="Calibri" w:cs="Times New Roman"/>
          <w:b/>
          <w:bCs/>
        </w:rPr>
      </w:pPr>
      <w:r w:rsidRPr="0016568C">
        <w:rPr>
          <w:rFonts w:ascii="Calibri" w:eastAsia="Calibri" w:hAnsi="Calibri" w:cs="Times New Roman"/>
          <w:b/>
          <w:bCs/>
        </w:rPr>
        <w:lastRenderedPageBreak/>
        <w:t>11.07.2022</w:t>
      </w:r>
      <w:r w:rsidRPr="00713BC1">
        <w:rPr>
          <w:rFonts w:ascii="Calibri" w:eastAsia="Calibri" w:hAnsi="Calibri" w:cs="Times New Roman"/>
        </w:rPr>
        <w:t xml:space="preserve"> </w:t>
      </w:r>
      <w:r w:rsidRPr="0016568C">
        <w:rPr>
          <w:rFonts w:ascii="Calibri" w:eastAsia="Calibri" w:hAnsi="Calibri" w:cs="Times New Roman"/>
          <w:b/>
          <w:bCs/>
        </w:rPr>
        <w:t>FRB</w:t>
      </w:r>
      <w:r>
        <w:rPr>
          <w:rFonts w:ascii="Calibri" w:eastAsia="Calibri" w:hAnsi="Calibri" w:cs="Times New Roman"/>
        </w:rPr>
        <w:t xml:space="preserve"> </w:t>
      </w:r>
      <w:hyperlink r:id="rId31" w:history="1">
        <w:r w:rsidRPr="0016568C">
          <w:rPr>
            <w:rStyle w:val="Hyperlink"/>
            <w:rFonts w:ascii="Calibri" w:eastAsia="Calibri" w:hAnsi="Calibri" w:cs="Times New Roman"/>
          </w:rPr>
          <w:t>Guidelines for Evaluating Account and Services Requests</w:t>
        </w:r>
      </w:hyperlink>
      <w:r w:rsidRPr="00713BC1">
        <w:rPr>
          <w:rFonts w:ascii="Calibri" w:eastAsia="Calibri" w:hAnsi="Calibri" w:cs="Times New Roman"/>
        </w:rPr>
        <w:t xml:space="preserve"> </w:t>
      </w:r>
      <w:r w:rsidR="0016568C">
        <w:rPr>
          <w:rFonts w:ascii="Calibri" w:eastAsia="Calibri" w:hAnsi="Calibri" w:cs="Times New Roman"/>
        </w:rPr>
        <w:t xml:space="preserve">- </w:t>
      </w:r>
      <w:r w:rsidRPr="00713BC1">
        <w:rPr>
          <w:rFonts w:ascii="Calibri" w:eastAsia="Calibri" w:hAnsi="Calibri" w:cs="Times New Roman"/>
        </w:rPr>
        <w:t xml:space="preserve">The Board of Governors of the Federal Reserve System (Board) is issuing a request for comment on proposed amendments to its Guidelines for Evaluating Account and Services Requests (Account Access Guidelines or Guidelines) that would require the Federal Reserve Banks (Reserve Banks) to publish a periodic list of depository institutions with access to Reserve Bank accounts and/or financial services. </w:t>
      </w:r>
      <w:r w:rsidR="001F38DA">
        <w:rPr>
          <w:rFonts w:ascii="Calibri" w:eastAsia="Calibri" w:hAnsi="Calibri" w:cs="Times New Roman"/>
        </w:rPr>
        <w:t xml:space="preserve"> </w:t>
      </w:r>
      <w:r w:rsidRPr="0016568C">
        <w:rPr>
          <w:rFonts w:ascii="Calibri" w:eastAsia="Calibri" w:hAnsi="Calibri" w:cs="Times New Roman"/>
          <w:b/>
          <w:bCs/>
        </w:rPr>
        <w:t xml:space="preserve">DATE:  </w:t>
      </w:r>
      <w:r w:rsidR="00C96525" w:rsidRPr="00C96525">
        <w:rPr>
          <w:rFonts w:ascii="Calibri" w:eastAsia="Calibri" w:hAnsi="Calibri" w:cs="Times New Roman"/>
          <w:b/>
          <w:bCs/>
        </w:rPr>
        <w:t xml:space="preserve">Comments must be received on or before January 17, 2023. </w:t>
      </w:r>
    </w:p>
    <w:p w14:paraId="354F7CF4" w14:textId="45795F07" w:rsidR="004F4EF2" w:rsidRDefault="004F4EF2" w:rsidP="00C96525">
      <w:pPr>
        <w:spacing w:after="0" w:line="240" w:lineRule="auto"/>
        <w:rPr>
          <w:rFonts w:ascii="Calibri" w:eastAsia="Calibri" w:hAnsi="Calibri" w:cs="Times New Roman"/>
          <w:b/>
          <w:bCs/>
        </w:rPr>
      </w:pPr>
    </w:p>
    <w:p w14:paraId="0758EAAD" w14:textId="77777777" w:rsidR="004F4EF2" w:rsidRPr="004F4EF2" w:rsidRDefault="004F4EF2" w:rsidP="004F4EF2">
      <w:pPr>
        <w:spacing w:after="0" w:line="240" w:lineRule="auto"/>
        <w:rPr>
          <w:rFonts w:ascii="Calibri" w:eastAsia="Calibri" w:hAnsi="Calibri" w:cs="Times New Roman"/>
        </w:rPr>
      </w:pPr>
      <w:r w:rsidRPr="004F4EF2">
        <w:rPr>
          <w:rFonts w:ascii="Calibri" w:eastAsia="Calibri" w:hAnsi="Calibri" w:cs="Times New Roman"/>
          <w:b/>
          <w:bCs/>
        </w:rPr>
        <w:t xml:space="preserve">12.16.2022 FinCEN </w:t>
      </w:r>
      <w:hyperlink r:id="rId32" w:history="1">
        <w:r w:rsidRPr="004F4EF2">
          <w:rPr>
            <w:rFonts w:ascii="Calibri" w:eastAsia="Calibri" w:hAnsi="Calibri" w:cs="Times New Roman"/>
            <w:b/>
            <w:bCs/>
            <w:color w:val="0563C1"/>
            <w:u w:val="single"/>
          </w:rPr>
          <w:t>Beneficial Ownership Information Access and Safeguards, and Use of FinCEN Identifiers for Entities</w:t>
        </w:r>
      </w:hyperlink>
      <w:r w:rsidRPr="004F4EF2">
        <w:rPr>
          <w:rFonts w:ascii="Calibri" w:eastAsia="Calibri" w:hAnsi="Calibri" w:cs="Times New Roman"/>
          <w:b/>
          <w:bCs/>
        </w:rPr>
        <w:t xml:space="preserve"> </w:t>
      </w:r>
      <w:r w:rsidRPr="004F4EF2">
        <w:rPr>
          <w:rFonts w:ascii="Calibri" w:eastAsia="Calibri" w:hAnsi="Calibri" w:cs="Times New Roman"/>
        </w:rPr>
        <w:t xml:space="preserve">FinCEN is promulgating proposed regulations regarding access by authorized recipients to beneficial ownership information (BOI) that will be reported to FinCEN pursuant to Section 6403 of the Corporate Transparency Act (CTA), enacted into law as part of the Anti-Money Laundering Act of 2020 (AML Act), which is itself part of the National Defense Authorization Act for Fiscal Year 2021 (NDAA). The proposed regulations would implement the strict protocols on security and confidentiality required by the CTA to protect sensitive personally identifiable information (PII) reported to FinCEN. The NPRM explains the circumstances in which specified recipients would have access to BOI and outlines data protection protocols and oversight mechanisms applicable to each recipient category. The disclosure of BOI to authorized recipients in accordance with appropriate protocols and oversight will help law enforcement and national security agencies prevent and combat money laundering, terrorist financing, tax fraud, and other illicit activity, as well as protect national security. FinCEN is also proposing regulations to specify when and how reporting companies can use FinCEN identifiers to report the BOI of entities. </w:t>
      </w:r>
      <w:r w:rsidRPr="004F4EF2">
        <w:rPr>
          <w:rFonts w:ascii="Calibri" w:eastAsia="Calibri" w:hAnsi="Calibri" w:cs="Times New Roman"/>
          <w:b/>
          <w:bCs/>
        </w:rPr>
        <w:t>DATES:  Written comments on this proposed rule may be submitted on or before February 14, 2023.</w:t>
      </w:r>
    </w:p>
    <w:p w14:paraId="5C3F66D5" w14:textId="77777777" w:rsidR="004F4EF2" w:rsidRPr="00C96525" w:rsidRDefault="004F4EF2" w:rsidP="00C96525">
      <w:pPr>
        <w:spacing w:after="0" w:line="240" w:lineRule="auto"/>
        <w:rPr>
          <w:rFonts w:ascii="Calibri" w:eastAsia="Calibri" w:hAnsi="Calibri" w:cs="Times New Roman"/>
          <w:b/>
          <w:bCs/>
        </w:rPr>
      </w:pPr>
    </w:p>
    <w:p w14:paraId="07110581" w14:textId="5DAAA73B" w:rsidR="00C96525" w:rsidRPr="00A43B1F" w:rsidRDefault="00A43B1F" w:rsidP="00C96525">
      <w:pPr>
        <w:spacing w:after="0" w:line="240" w:lineRule="auto"/>
        <w:rPr>
          <w:rFonts w:ascii="Calibri" w:eastAsia="Calibri" w:hAnsi="Calibri" w:cs="Times New Roman"/>
        </w:rPr>
      </w:pPr>
      <w:r>
        <w:rPr>
          <w:rFonts w:ascii="Calibri" w:eastAsia="Calibri" w:hAnsi="Calibri" w:cs="Times New Roman"/>
          <w:b/>
          <w:bCs/>
        </w:rPr>
        <w:t xml:space="preserve">01.05.2023 </w:t>
      </w:r>
      <w:hyperlink r:id="rId33" w:history="1">
        <w:r w:rsidRPr="00A43B1F">
          <w:rPr>
            <w:rStyle w:val="Hyperlink"/>
            <w:rFonts w:ascii="Calibri" w:eastAsia="Calibri" w:hAnsi="Calibri" w:cs="Times New Roman"/>
            <w:b/>
            <w:bCs/>
          </w:rPr>
          <w:t>FTC Non-Compete Clause Rulemaking</w:t>
        </w:r>
      </w:hyperlink>
      <w:r>
        <w:rPr>
          <w:rFonts w:ascii="Calibri" w:eastAsia="Calibri" w:hAnsi="Calibri" w:cs="Times New Roman"/>
          <w:b/>
          <w:bCs/>
        </w:rPr>
        <w:t xml:space="preserve"> </w:t>
      </w:r>
      <w:r w:rsidRPr="00A43B1F">
        <w:rPr>
          <w:rFonts w:ascii="Calibri" w:eastAsia="Calibri" w:hAnsi="Calibri" w:cs="Times New Roman"/>
        </w:rPr>
        <w:t xml:space="preserve">About one in five American workers—approximately 30 million people—are bound by a non-compete clause and are thus restricted from pursuing better employment opportunities. A non-compete clause is a contractual term between an employer and a worker that blocks the worker from working for a competing employer, or starting a competing business, typically within a certain geographic area and </w:t>
      </w:r>
      <w:proofErr w:type="gramStart"/>
      <w:r w:rsidRPr="00A43B1F">
        <w:rPr>
          <w:rFonts w:ascii="Calibri" w:eastAsia="Calibri" w:hAnsi="Calibri" w:cs="Times New Roman"/>
        </w:rPr>
        <w:t>period of time</w:t>
      </w:r>
      <w:proofErr w:type="gramEnd"/>
      <w:r w:rsidRPr="00A43B1F">
        <w:rPr>
          <w:rFonts w:ascii="Calibri" w:eastAsia="Calibri" w:hAnsi="Calibri" w:cs="Times New Roman"/>
        </w:rPr>
        <w:t xml:space="preserve"> after the worker’s employment ends. Because non-compete clauses prevent workers from leaving jobs and decrease competition for workers, they lower wages for both workers who are subject to them as well as workers who are not. Non-compete clauses also prevent new businesses from forming, stifling entrepreneurship, and prevent novel innovation which would otherwise occur when workers are able to broadly share their ideas.  The Federal Trade Commission proposes preventing employers from </w:t>
      </w:r>
      <w:proofErr w:type="gramStart"/>
      <w:r w:rsidRPr="00A43B1F">
        <w:rPr>
          <w:rFonts w:ascii="Calibri" w:eastAsia="Calibri" w:hAnsi="Calibri" w:cs="Times New Roman"/>
        </w:rPr>
        <w:t>entering into</w:t>
      </w:r>
      <w:proofErr w:type="gramEnd"/>
      <w:r w:rsidRPr="00A43B1F">
        <w:rPr>
          <w:rFonts w:ascii="Calibri" w:eastAsia="Calibri" w:hAnsi="Calibri" w:cs="Times New Roman"/>
        </w:rPr>
        <w:t xml:space="preserve"> non-compete clauses with workers and requiring employers to rescind existing non-compete clauses. The Commission estimates that the proposed rule would increase American workers’ earnings between $250 billion and $296 billion per year. The Commission is asking for the public’s opinion on its proposal to declare that non-compete clauses are an unfair method of competition, and on the possible alternatives to this rule that the Commission has proposed.</w:t>
      </w:r>
      <w:r>
        <w:rPr>
          <w:rFonts w:ascii="Calibri" w:eastAsia="Calibri" w:hAnsi="Calibri" w:cs="Times New Roman"/>
        </w:rPr>
        <w:t xml:space="preserve"> </w:t>
      </w:r>
      <w:r w:rsidRPr="00A43B1F">
        <w:rPr>
          <w:rFonts w:ascii="Calibri" w:eastAsia="Calibri" w:hAnsi="Calibri" w:cs="Times New Roman"/>
          <w:b/>
          <w:bCs/>
        </w:rPr>
        <w:t>Comments will be due 60 days after the Federal Register publishes the proposed rule. The public comment period will be open soon.</w:t>
      </w:r>
    </w:p>
    <w:sectPr w:rsidR="00C96525" w:rsidRPr="00A43B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CA5C" w14:textId="77777777" w:rsidR="00B2421C" w:rsidRDefault="00B2421C" w:rsidP="00AB76E8">
      <w:pPr>
        <w:spacing w:after="0" w:line="240" w:lineRule="auto"/>
      </w:pPr>
      <w:r>
        <w:separator/>
      </w:r>
    </w:p>
  </w:endnote>
  <w:endnote w:type="continuationSeparator" w:id="0">
    <w:p w14:paraId="75E8E0CC" w14:textId="77777777" w:rsidR="00B2421C" w:rsidRDefault="00B2421C" w:rsidP="00AB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596B" w14:textId="77777777" w:rsidR="00B2421C" w:rsidRDefault="00B2421C" w:rsidP="00AB76E8">
      <w:pPr>
        <w:spacing w:after="0" w:line="240" w:lineRule="auto"/>
      </w:pPr>
      <w:r>
        <w:separator/>
      </w:r>
    </w:p>
  </w:footnote>
  <w:footnote w:type="continuationSeparator" w:id="0">
    <w:p w14:paraId="14C07A89" w14:textId="77777777" w:rsidR="00B2421C" w:rsidRDefault="00B2421C" w:rsidP="00AB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CCFD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33B73"/>
    <w:multiLevelType w:val="multilevel"/>
    <w:tmpl w:val="C58E7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606DE"/>
    <w:multiLevelType w:val="hybridMultilevel"/>
    <w:tmpl w:val="2F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A36EC"/>
    <w:multiLevelType w:val="multilevel"/>
    <w:tmpl w:val="4FA03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5863609">
    <w:abstractNumId w:val="0"/>
  </w:num>
  <w:num w:numId="2" w16cid:durableId="851601350">
    <w:abstractNumId w:val="3"/>
  </w:num>
  <w:num w:numId="3" w16cid:durableId="600530750">
    <w:abstractNumId w:val="1"/>
  </w:num>
  <w:num w:numId="4" w16cid:durableId="100416530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8F"/>
    <w:rsid w:val="000015D0"/>
    <w:rsid w:val="000016A6"/>
    <w:rsid w:val="000021BD"/>
    <w:rsid w:val="0000246C"/>
    <w:rsid w:val="00002476"/>
    <w:rsid w:val="00002D2E"/>
    <w:rsid w:val="00003468"/>
    <w:rsid w:val="00003B24"/>
    <w:rsid w:val="00004036"/>
    <w:rsid w:val="00004934"/>
    <w:rsid w:val="000056DE"/>
    <w:rsid w:val="000066DE"/>
    <w:rsid w:val="00006F06"/>
    <w:rsid w:val="00007200"/>
    <w:rsid w:val="00007859"/>
    <w:rsid w:val="00011E1B"/>
    <w:rsid w:val="00012313"/>
    <w:rsid w:val="00012DC3"/>
    <w:rsid w:val="000165E0"/>
    <w:rsid w:val="000176ED"/>
    <w:rsid w:val="00017DF1"/>
    <w:rsid w:val="00023FC2"/>
    <w:rsid w:val="000241AE"/>
    <w:rsid w:val="00027E93"/>
    <w:rsid w:val="00030336"/>
    <w:rsid w:val="00031449"/>
    <w:rsid w:val="0003519C"/>
    <w:rsid w:val="00037F6E"/>
    <w:rsid w:val="0004072D"/>
    <w:rsid w:val="00040A32"/>
    <w:rsid w:val="00040E46"/>
    <w:rsid w:val="0004171F"/>
    <w:rsid w:val="0004292A"/>
    <w:rsid w:val="00042946"/>
    <w:rsid w:val="00042948"/>
    <w:rsid w:val="0004542F"/>
    <w:rsid w:val="000459BB"/>
    <w:rsid w:val="00046C60"/>
    <w:rsid w:val="000506E4"/>
    <w:rsid w:val="0005096D"/>
    <w:rsid w:val="00052357"/>
    <w:rsid w:val="00053F03"/>
    <w:rsid w:val="000543B8"/>
    <w:rsid w:val="00055210"/>
    <w:rsid w:val="00055C21"/>
    <w:rsid w:val="00055D07"/>
    <w:rsid w:val="0005633C"/>
    <w:rsid w:val="0006053E"/>
    <w:rsid w:val="00060C72"/>
    <w:rsid w:val="00063F9D"/>
    <w:rsid w:val="00064407"/>
    <w:rsid w:val="0006527D"/>
    <w:rsid w:val="000657AF"/>
    <w:rsid w:val="00071639"/>
    <w:rsid w:val="0007261C"/>
    <w:rsid w:val="000729B4"/>
    <w:rsid w:val="0007380C"/>
    <w:rsid w:val="00073C70"/>
    <w:rsid w:val="00074091"/>
    <w:rsid w:val="0007540E"/>
    <w:rsid w:val="00077C4C"/>
    <w:rsid w:val="00077EA8"/>
    <w:rsid w:val="00080B48"/>
    <w:rsid w:val="000829A5"/>
    <w:rsid w:val="00082D5C"/>
    <w:rsid w:val="0008372F"/>
    <w:rsid w:val="0008377A"/>
    <w:rsid w:val="000839C5"/>
    <w:rsid w:val="00084AB0"/>
    <w:rsid w:val="00084E78"/>
    <w:rsid w:val="0008583F"/>
    <w:rsid w:val="000860B5"/>
    <w:rsid w:val="00086E51"/>
    <w:rsid w:val="000875E2"/>
    <w:rsid w:val="00087B7E"/>
    <w:rsid w:val="00090AE1"/>
    <w:rsid w:val="00091EE7"/>
    <w:rsid w:val="000927FD"/>
    <w:rsid w:val="00092837"/>
    <w:rsid w:val="00092F17"/>
    <w:rsid w:val="00093D86"/>
    <w:rsid w:val="00094EE1"/>
    <w:rsid w:val="00095BCE"/>
    <w:rsid w:val="00097CBC"/>
    <w:rsid w:val="000A0F22"/>
    <w:rsid w:val="000A149C"/>
    <w:rsid w:val="000A2219"/>
    <w:rsid w:val="000A2BC4"/>
    <w:rsid w:val="000A43C2"/>
    <w:rsid w:val="000A64FC"/>
    <w:rsid w:val="000A6A4A"/>
    <w:rsid w:val="000A6EB7"/>
    <w:rsid w:val="000A751E"/>
    <w:rsid w:val="000A7708"/>
    <w:rsid w:val="000B0B8F"/>
    <w:rsid w:val="000B1151"/>
    <w:rsid w:val="000B13F2"/>
    <w:rsid w:val="000B1F54"/>
    <w:rsid w:val="000B1F6F"/>
    <w:rsid w:val="000B2559"/>
    <w:rsid w:val="000B25B6"/>
    <w:rsid w:val="000B3503"/>
    <w:rsid w:val="000B37AA"/>
    <w:rsid w:val="000B3DA3"/>
    <w:rsid w:val="000B55DF"/>
    <w:rsid w:val="000B72EF"/>
    <w:rsid w:val="000B7430"/>
    <w:rsid w:val="000B7D60"/>
    <w:rsid w:val="000C0084"/>
    <w:rsid w:val="000C0540"/>
    <w:rsid w:val="000C101D"/>
    <w:rsid w:val="000C165A"/>
    <w:rsid w:val="000C258A"/>
    <w:rsid w:val="000C2AF2"/>
    <w:rsid w:val="000C565B"/>
    <w:rsid w:val="000C5CD9"/>
    <w:rsid w:val="000C5D22"/>
    <w:rsid w:val="000C641F"/>
    <w:rsid w:val="000D0795"/>
    <w:rsid w:val="000D0E09"/>
    <w:rsid w:val="000D1FC3"/>
    <w:rsid w:val="000D2BF4"/>
    <w:rsid w:val="000D2C44"/>
    <w:rsid w:val="000D3AF3"/>
    <w:rsid w:val="000D48CC"/>
    <w:rsid w:val="000D4DCA"/>
    <w:rsid w:val="000D6337"/>
    <w:rsid w:val="000D7338"/>
    <w:rsid w:val="000D7480"/>
    <w:rsid w:val="000D77ED"/>
    <w:rsid w:val="000D7D18"/>
    <w:rsid w:val="000E06EE"/>
    <w:rsid w:val="000E08F1"/>
    <w:rsid w:val="000E1417"/>
    <w:rsid w:val="000E1F65"/>
    <w:rsid w:val="000E3A44"/>
    <w:rsid w:val="000E3AB8"/>
    <w:rsid w:val="000E5C69"/>
    <w:rsid w:val="000E5FC6"/>
    <w:rsid w:val="000E63A1"/>
    <w:rsid w:val="000F2448"/>
    <w:rsid w:val="000F2639"/>
    <w:rsid w:val="000F2AC7"/>
    <w:rsid w:val="000F32A8"/>
    <w:rsid w:val="000F3749"/>
    <w:rsid w:val="000F3A65"/>
    <w:rsid w:val="000F4453"/>
    <w:rsid w:val="000F527B"/>
    <w:rsid w:val="000F603B"/>
    <w:rsid w:val="000F627B"/>
    <w:rsid w:val="000F6EFE"/>
    <w:rsid w:val="000F6FDF"/>
    <w:rsid w:val="00100660"/>
    <w:rsid w:val="0010196E"/>
    <w:rsid w:val="00101D7C"/>
    <w:rsid w:val="00101E10"/>
    <w:rsid w:val="00102CBA"/>
    <w:rsid w:val="00102F50"/>
    <w:rsid w:val="00102F74"/>
    <w:rsid w:val="00103047"/>
    <w:rsid w:val="001034DC"/>
    <w:rsid w:val="00104298"/>
    <w:rsid w:val="0010456C"/>
    <w:rsid w:val="00104F1C"/>
    <w:rsid w:val="001054F0"/>
    <w:rsid w:val="00110CB3"/>
    <w:rsid w:val="00111C77"/>
    <w:rsid w:val="00112237"/>
    <w:rsid w:val="00112ADB"/>
    <w:rsid w:val="00114413"/>
    <w:rsid w:val="0011445C"/>
    <w:rsid w:val="00114911"/>
    <w:rsid w:val="001154FD"/>
    <w:rsid w:val="00115F36"/>
    <w:rsid w:val="00120FCB"/>
    <w:rsid w:val="00123B9D"/>
    <w:rsid w:val="00124A24"/>
    <w:rsid w:val="00124C70"/>
    <w:rsid w:val="0012665F"/>
    <w:rsid w:val="00126CDA"/>
    <w:rsid w:val="00130838"/>
    <w:rsid w:val="001309D2"/>
    <w:rsid w:val="00131306"/>
    <w:rsid w:val="00131E42"/>
    <w:rsid w:val="0013476D"/>
    <w:rsid w:val="00135D7E"/>
    <w:rsid w:val="00135EA0"/>
    <w:rsid w:val="0013607D"/>
    <w:rsid w:val="00136092"/>
    <w:rsid w:val="0013614E"/>
    <w:rsid w:val="00137419"/>
    <w:rsid w:val="00140F3B"/>
    <w:rsid w:val="00141D02"/>
    <w:rsid w:val="00141D70"/>
    <w:rsid w:val="00142500"/>
    <w:rsid w:val="001426AE"/>
    <w:rsid w:val="001437AC"/>
    <w:rsid w:val="00143AA9"/>
    <w:rsid w:val="00144AEB"/>
    <w:rsid w:val="0014564A"/>
    <w:rsid w:val="001462DF"/>
    <w:rsid w:val="00147358"/>
    <w:rsid w:val="001474E4"/>
    <w:rsid w:val="00147FC4"/>
    <w:rsid w:val="00151FB2"/>
    <w:rsid w:val="001520D7"/>
    <w:rsid w:val="001532F2"/>
    <w:rsid w:val="00154B32"/>
    <w:rsid w:val="00155556"/>
    <w:rsid w:val="0015612E"/>
    <w:rsid w:val="001561BB"/>
    <w:rsid w:val="00156AB8"/>
    <w:rsid w:val="00160EAA"/>
    <w:rsid w:val="00161077"/>
    <w:rsid w:val="00164786"/>
    <w:rsid w:val="00164D16"/>
    <w:rsid w:val="00164F9C"/>
    <w:rsid w:val="00165635"/>
    <w:rsid w:val="0016568C"/>
    <w:rsid w:val="001664B8"/>
    <w:rsid w:val="00167337"/>
    <w:rsid w:val="0017007A"/>
    <w:rsid w:val="001717B4"/>
    <w:rsid w:val="00171835"/>
    <w:rsid w:val="00173B85"/>
    <w:rsid w:val="00173E73"/>
    <w:rsid w:val="00174819"/>
    <w:rsid w:val="00174BBD"/>
    <w:rsid w:val="00174FC1"/>
    <w:rsid w:val="00175495"/>
    <w:rsid w:val="0017586C"/>
    <w:rsid w:val="00175BE7"/>
    <w:rsid w:val="00176259"/>
    <w:rsid w:val="00176684"/>
    <w:rsid w:val="0017706F"/>
    <w:rsid w:val="0017773B"/>
    <w:rsid w:val="00177C7E"/>
    <w:rsid w:val="00181FA9"/>
    <w:rsid w:val="0018245F"/>
    <w:rsid w:val="0018290F"/>
    <w:rsid w:val="00182A84"/>
    <w:rsid w:val="00182C23"/>
    <w:rsid w:val="00183DF1"/>
    <w:rsid w:val="00185EE3"/>
    <w:rsid w:val="00185F7F"/>
    <w:rsid w:val="0018662E"/>
    <w:rsid w:val="00187885"/>
    <w:rsid w:val="00187BE0"/>
    <w:rsid w:val="0019124C"/>
    <w:rsid w:val="0019152D"/>
    <w:rsid w:val="0019160D"/>
    <w:rsid w:val="00193024"/>
    <w:rsid w:val="00193060"/>
    <w:rsid w:val="00193937"/>
    <w:rsid w:val="00194461"/>
    <w:rsid w:val="00196540"/>
    <w:rsid w:val="00196808"/>
    <w:rsid w:val="00196896"/>
    <w:rsid w:val="001975A9"/>
    <w:rsid w:val="00197CDE"/>
    <w:rsid w:val="001A082B"/>
    <w:rsid w:val="001A0B0C"/>
    <w:rsid w:val="001A109A"/>
    <w:rsid w:val="001A155F"/>
    <w:rsid w:val="001A1C4A"/>
    <w:rsid w:val="001A3E69"/>
    <w:rsid w:val="001A6499"/>
    <w:rsid w:val="001A65ED"/>
    <w:rsid w:val="001A6DA8"/>
    <w:rsid w:val="001B052B"/>
    <w:rsid w:val="001B0576"/>
    <w:rsid w:val="001B1AEF"/>
    <w:rsid w:val="001B1E30"/>
    <w:rsid w:val="001B58BF"/>
    <w:rsid w:val="001B6048"/>
    <w:rsid w:val="001B7A8B"/>
    <w:rsid w:val="001C168B"/>
    <w:rsid w:val="001C1AFD"/>
    <w:rsid w:val="001C2B67"/>
    <w:rsid w:val="001C41C8"/>
    <w:rsid w:val="001C5D4B"/>
    <w:rsid w:val="001C6318"/>
    <w:rsid w:val="001C7068"/>
    <w:rsid w:val="001D1271"/>
    <w:rsid w:val="001D1BBC"/>
    <w:rsid w:val="001D2DF0"/>
    <w:rsid w:val="001D2E7A"/>
    <w:rsid w:val="001D37E3"/>
    <w:rsid w:val="001D3863"/>
    <w:rsid w:val="001D488F"/>
    <w:rsid w:val="001D5482"/>
    <w:rsid w:val="001D5646"/>
    <w:rsid w:val="001D6D08"/>
    <w:rsid w:val="001E0B8E"/>
    <w:rsid w:val="001E10BF"/>
    <w:rsid w:val="001E14F9"/>
    <w:rsid w:val="001E232D"/>
    <w:rsid w:val="001E26AB"/>
    <w:rsid w:val="001E28D8"/>
    <w:rsid w:val="001E4438"/>
    <w:rsid w:val="001E5149"/>
    <w:rsid w:val="001E51B9"/>
    <w:rsid w:val="001E5831"/>
    <w:rsid w:val="001E5D0F"/>
    <w:rsid w:val="001E5E93"/>
    <w:rsid w:val="001E6667"/>
    <w:rsid w:val="001E671F"/>
    <w:rsid w:val="001E6E26"/>
    <w:rsid w:val="001E7310"/>
    <w:rsid w:val="001F1233"/>
    <w:rsid w:val="001F1458"/>
    <w:rsid w:val="001F1FB1"/>
    <w:rsid w:val="001F2C79"/>
    <w:rsid w:val="001F314D"/>
    <w:rsid w:val="001F38DA"/>
    <w:rsid w:val="001F4145"/>
    <w:rsid w:val="001F4CB2"/>
    <w:rsid w:val="001F4E8C"/>
    <w:rsid w:val="001F5905"/>
    <w:rsid w:val="001F6625"/>
    <w:rsid w:val="001F676D"/>
    <w:rsid w:val="001F67D9"/>
    <w:rsid w:val="001F773B"/>
    <w:rsid w:val="0020039C"/>
    <w:rsid w:val="00201056"/>
    <w:rsid w:val="002042AE"/>
    <w:rsid w:val="002047DB"/>
    <w:rsid w:val="00204DDF"/>
    <w:rsid w:val="0020545B"/>
    <w:rsid w:val="00206960"/>
    <w:rsid w:val="00206B36"/>
    <w:rsid w:val="00207039"/>
    <w:rsid w:val="002078B2"/>
    <w:rsid w:val="00211348"/>
    <w:rsid w:val="00211AFD"/>
    <w:rsid w:val="00212994"/>
    <w:rsid w:val="00213FAB"/>
    <w:rsid w:val="00214133"/>
    <w:rsid w:val="00214B26"/>
    <w:rsid w:val="00215900"/>
    <w:rsid w:val="00220272"/>
    <w:rsid w:val="00221D22"/>
    <w:rsid w:val="00222A5D"/>
    <w:rsid w:val="002247F1"/>
    <w:rsid w:val="002251A9"/>
    <w:rsid w:val="00226226"/>
    <w:rsid w:val="002271C3"/>
    <w:rsid w:val="0023214C"/>
    <w:rsid w:val="0023279E"/>
    <w:rsid w:val="0023364A"/>
    <w:rsid w:val="00233CB2"/>
    <w:rsid w:val="002347CA"/>
    <w:rsid w:val="00235E45"/>
    <w:rsid w:val="00235F82"/>
    <w:rsid w:val="002377E0"/>
    <w:rsid w:val="002401DA"/>
    <w:rsid w:val="00240C55"/>
    <w:rsid w:val="00240E88"/>
    <w:rsid w:val="0024252B"/>
    <w:rsid w:val="002426AE"/>
    <w:rsid w:val="002427FB"/>
    <w:rsid w:val="00242F01"/>
    <w:rsid w:val="00243F04"/>
    <w:rsid w:val="00244385"/>
    <w:rsid w:val="00245AA7"/>
    <w:rsid w:val="00250A64"/>
    <w:rsid w:val="00251FCA"/>
    <w:rsid w:val="00252255"/>
    <w:rsid w:val="00252511"/>
    <w:rsid w:val="002529F2"/>
    <w:rsid w:val="00252E1A"/>
    <w:rsid w:val="00253248"/>
    <w:rsid w:val="00253A0E"/>
    <w:rsid w:val="00255792"/>
    <w:rsid w:val="00257F60"/>
    <w:rsid w:val="00260542"/>
    <w:rsid w:val="00262CF6"/>
    <w:rsid w:val="00263008"/>
    <w:rsid w:val="00263982"/>
    <w:rsid w:val="002643F2"/>
    <w:rsid w:val="002647D4"/>
    <w:rsid w:val="0026496A"/>
    <w:rsid w:val="00265169"/>
    <w:rsid w:val="00266285"/>
    <w:rsid w:val="002666BA"/>
    <w:rsid w:val="002676FB"/>
    <w:rsid w:val="00270604"/>
    <w:rsid w:val="00270680"/>
    <w:rsid w:val="002717F1"/>
    <w:rsid w:val="00273281"/>
    <w:rsid w:val="002759C4"/>
    <w:rsid w:val="00275B21"/>
    <w:rsid w:val="00276E33"/>
    <w:rsid w:val="00277784"/>
    <w:rsid w:val="00281561"/>
    <w:rsid w:val="00282634"/>
    <w:rsid w:val="0028307B"/>
    <w:rsid w:val="00283365"/>
    <w:rsid w:val="002833EB"/>
    <w:rsid w:val="002836C9"/>
    <w:rsid w:val="002849A2"/>
    <w:rsid w:val="00286FB7"/>
    <w:rsid w:val="00291837"/>
    <w:rsid w:val="00291C3E"/>
    <w:rsid w:val="002928E8"/>
    <w:rsid w:val="0029389E"/>
    <w:rsid w:val="00293C22"/>
    <w:rsid w:val="00294A3E"/>
    <w:rsid w:val="00294AF6"/>
    <w:rsid w:val="00295622"/>
    <w:rsid w:val="00295974"/>
    <w:rsid w:val="00295E63"/>
    <w:rsid w:val="00296204"/>
    <w:rsid w:val="00297468"/>
    <w:rsid w:val="00297CD3"/>
    <w:rsid w:val="002A0EDB"/>
    <w:rsid w:val="002A189C"/>
    <w:rsid w:val="002A3E08"/>
    <w:rsid w:val="002A42AC"/>
    <w:rsid w:val="002A4720"/>
    <w:rsid w:val="002A573A"/>
    <w:rsid w:val="002A5BB3"/>
    <w:rsid w:val="002A7CB7"/>
    <w:rsid w:val="002B1659"/>
    <w:rsid w:val="002B228A"/>
    <w:rsid w:val="002B23ED"/>
    <w:rsid w:val="002B28EB"/>
    <w:rsid w:val="002B41C9"/>
    <w:rsid w:val="002B4364"/>
    <w:rsid w:val="002B494B"/>
    <w:rsid w:val="002B4A9D"/>
    <w:rsid w:val="002B5BAE"/>
    <w:rsid w:val="002B5C03"/>
    <w:rsid w:val="002B5E0F"/>
    <w:rsid w:val="002B7320"/>
    <w:rsid w:val="002C1D3B"/>
    <w:rsid w:val="002C1DC1"/>
    <w:rsid w:val="002C220B"/>
    <w:rsid w:val="002C37CF"/>
    <w:rsid w:val="002C5CE6"/>
    <w:rsid w:val="002C5FA0"/>
    <w:rsid w:val="002C60C8"/>
    <w:rsid w:val="002D11A9"/>
    <w:rsid w:val="002D1D8F"/>
    <w:rsid w:val="002D2079"/>
    <w:rsid w:val="002D2FB1"/>
    <w:rsid w:val="002D375E"/>
    <w:rsid w:val="002D406F"/>
    <w:rsid w:val="002D4CC5"/>
    <w:rsid w:val="002D568D"/>
    <w:rsid w:val="002D5B82"/>
    <w:rsid w:val="002D5F94"/>
    <w:rsid w:val="002D73C7"/>
    <w:rsid w:val="002E0D22"/>
    <w:rsid w:val="002E0FF0"/>
    <w:rsid w:val="002E153C"/>
    <w:rsid w:val="002E4B49"/>
    <w:rsid w:val="002E6697"/>
    <w:rsid w:val="002E732E"/>
    <w:rsid w:val="002E7E77"/>
    <w:rsid w:val="002F20C0"/>
    <w:rsid w:val="002F2443"/>
    <w:rsid w:val="002F3EE2"/>
    <w:rsid w:val="002F3FFA"/>
    <w:rsid w:val="002F425D"/>
    <w:rsid w:val="002F5427"/>
    <w:rsid w:val="002F55BC"/>
    <w:rsid w:val="003004A4"/>
    <w:rsid w:val="003008A0"/>
    <w:rsid w:val="00300CE7"/>
    <w:rsid w:val="00301388"/>
    <w:rsid w:val="0030170F"/>
    <w:rsid w:val="00301D47"/>
    <w:rsid w:val="00302256"/>
    <w:rsid w:val="003030CD"/>
    <w:rsid w:val="0030342B"/>
    <w:rsid w:val="00304E4D"/>
    <w:rsid w:val="00306225"/>
    <w:rsid w:val="00313783"/>
    <w:rsid w:val="0031700F"/>
    <w:rsid w:val="00317AEF"/>
    <w:rsid w:val="003206C3"/>
    <w:rsid w:val="003207D2"/>
    <w:rsid w:val="00320A6D"/>
    <w:rsid w:val="00320DB7"/>
    <w:rsid w:val="00321346"/>
    <w:rsid w:val="00321FD9"/>
    <w:rsid w:val="00324EF3"/>
    <w:rsid w:val="003258D9"/>
    <w:rsid w:val="00325E46"/>
    <w:rsid w:val="0032610A"/>
    <w:rsid w:val="0032650E"/>
    <w:rsid w:val="00326BE1"/>
    <w:rsid w:val="0033100C"/>
    <w:rsid w:val="00332FE1"/>
    <w:rsid w:val="003330BD"/>
    <w:rsid w:val="00334A58"/>
    <w:rsid w:val="00335317"/>
    <w:rsid w:val="00335522"/>
    <w:rsid w:val="003362E3"/>
    <w:rsid w:val="003369CA"/>
    <w:rsid w:val="00340659"/>
    <w:rsid w:val="00340F71"/>
    <w:rsid w:val="0034369F"/>
    <w:rsid w:val="00345562"/>
    <w:rsid w:val="00346DAC"/>
    <w:rsid w:val="003471FD"/>
    <w:rsid w:val="00347356"/>
    <w:rsid w:val="003476D4"/>
    <w:rsid w:val="003503E7"/>
    <w:rsid w:val="00350BB9"/>
    <w:rsid w:val="00355BA8"/>
    <w:rsid w:val="00356E81"/>
    <w:rsid w:val="0035737A"/>
    <w:rsid w:val="0036098B"/>
    <w:rsid w:val="00360ED5"/>
    <w:rsid w:val="0036142F"/>
    <w:rsid w:val="00361CD4"/>
    <w:rsid w:val="00362447"/>
    <w:rsid w:val="00365242"/>
    <w:rsid w:val="0036554A"/>
    <w:rsid w:val="003669EB"/>
    <w:rsid w:val="00367994"/>
    <w:rsid w:val="0037269D"/>
    <w:rsid w:val="00372BC1"/>
    <w:rsid w:val="00373A48"/>
    <w:rsid w:val="00373F16"/>
    <w:rsid w:val="00374839"/>
    <w:rsid w:val="00375495"/>
    <w:rsid w:val="003755FA"/>
    <w:rsid w:val="0037581E"/>
    <w:rsid w:val="00375F87"/>
    <w:rsid w:val="003763C6"/>
    <w:rsid w:val="00380839"/>
    <w:rsid w:val="00381B8C"/>
    <w:rsid w:val="003825EE"/>
    <w:rsid w:val="00383356"/>
    <w:rsid w:val="003835A4"/>
    <w:rsid w:val="00383973"/>
    <w:rsid w:val="00384159"/>
    <w:rsid w:val="003844CD"/>
    <w:rsid w:val="00384AF2"/>
    <w:rsid w:val="003855A0"/>
    <w:rsid w:val="003856BD"/>
    <w:rsid w:val="00390138"/>
    <w:rsid w:val="003904FF"/>
    <w:rsid w:val="003906F6"/>
    <w:rsid w:val="00390D37"/>
    <w:rsid w:val="003925A3"/>
    <w:rsid w:val="00392F5E"/>
    <w:rsid w:val="00396253"/>
    <w:rsid w:val="00396628"/>
    <w:rsid w:val="0039666D"/>
    <w:rsid w:val="003A0EF7"/>
    <w:rsid w:val="003A1794"/>
    <w:rsid w:val="003A1DFD"/>
    <w:rsid w:val="003A3A27"/>
    <w:rsid w:val="003A4408"/>
    <w:rsid w:val="003A4BB6"/>
    <w:rsid w:val="003A5F3D"/>
    <w:rsid w:val="003B23CF"/>
    <w:rsid w:val="003B2581"/>
    <w:rsid w:val="003B277B"/>
    <w:rsid w:val="003B278F"/>
    <w:rsid w:val="003B3447"/>
    <w:rsid w:val="003B4355"/>
    <w:rsid w:val="003B7061"/>
    <w:rsid w:val="003B7A4A"/>
    <w:rsid w:val="003C05F9"/>
    <w:rsid w:val="003C0AFA"/>
    <w:rsid w:val="003C0BDA"/>
    <w:rsid w:val="003C0F23"/>
    <w:rsid w:val="003C1BD6"/>
    <w:rsid w:val="003C45A9"/>
    <w:rsid w:val="003C5160"/>
    <w:rsid w:val="003C5691"/>
    <w:rsid w:val="003C582F"/>
    <w:rsid w:val="003C6161"/>
    <w:rsid w:val="003C63AB"/>
    <w:rsid w:val="003C774D"/>
    <w:rsid w:val="003C7B73"/>
    <w:rsid w:val="003D0876"/>
    <w:rsid w:val="003D171F"/>
    <w:rsid w:val="003D1FE0"/>
    <w:rsid w:val="003D2037"/>
    <w:rsid w:val="003D2BCE"/>
    <w:rsid w:val="003D3806"/>
    <w:rsid w:val="003D4E1B"/>
    <w:rsid w:val="003D5CDE"/>
    <w:rsid w:val="003D614B"/>
    <w:rsid w:val="003D78CC"/>
    <w:rsid w:val="003E067E"/>
    <w:rsid w:val="003E0B27"/>
    <w:rsid w:val="003E0E23"/>
    <w:rsid w:val="003E0E98"/>
    <w:rsid w:val="003E20F3"/>
    <w:rsid w:val="003E345E"/>
    <w:rsid w:val="003E55E9"/>
    <w:rsid w:val="003E6AF1"/>
    <w:rsid w:val="003F0C92"/>
    <w:rsid w:val="003F1472"/>
    <w:rsid w:val="003F14CF"/>
    <w:rsid w:val="003F30E7"/>
    <w:rsid w:val="003F31F8"/>
    <w:rsid w:val="003F37C4"/>
    <w:rsid w:val="003F7666"/>
    <w:rsid w:val="004006C8"/>
    <w:rsid w:val="00400D48"/>
    <w:rsid w:val="004011C4"/>
    <w:rsid w:val="00402CD3"/>
    <w:rsid w:val="00403995"/>
    <w:rsid w:val="00403F6C"/>
    <w:rsid w:val="00405510"/>
    <w:rsid w:val="00405C20"/>
    <w:rsid w:val="00406B82"/>
    <w:rsid w:val="004117CC"/>
    <w:rsid w:val="004117E7"/>
    <w:rsid w:val="00411E05"/>
    <w:rsid w:val="00412C4F"/>
    <w:rsid w:val="00414A6F"/>
    <w:rsid w:val="00415108"/>
    <w:rsid w:val="004153AD"/>
    <w:rsid w:val="00415B77"/>
    <w:rsid w:val="00415BBB"/>
    <w:rsid w:val="00420BB4"/>
    <w:rsid w:val="00422AD9"/>
    <w:rsid w:val="004240C9"/>
    <w:rsid w:val="00424307"/>
    <w:rsid w:val="00424FD8"/>
    <w:rsid w:val="00425143"/>
    <w:rsid w:val="0042667C"/>
    <w:rsid w:val="00426A2B"/>
    <w:rsid w:val="00427025"/>
    <w:rsid w:val="00427CBE"/>
    <w:rsid w:val="004304C3"/>
    <w:rsid w:val="00430B04"/>
    <w:rsid w:val="00430BF2"/>
    <w:rsid w:val="00430D3E"/>
    <w:rsid w:val="004311A5"/>
    <w:rsid w:val="00432CA3"/>
    <w:rsid w:val="00435821"/>
    <w:rsid w:val="00436D28"/>
    <w:rsid w:val="00437149"/>
    <w:rsid w:val="0043796F"/>
    <w:rsid w:val="00437CB4"/>
    <w:rsid w:val="00441F33"/>
    <w:rsid w:val="00443606"/>
    <w:rsid w:val="00444154"/>
    <w:rsid w:val="00444341"/>
    <w:rsid w:val="00444363"/>
    <w:rsid w:val="00445F24"/>
    <w:rsid w:val="004462B8"/>
    <w:rsid w:val="004510D1"/>
    <w:rsid w:val="0045195E"/>
    <w:rsid w:val="00451C06"/>
    <w:rsid w:val="00453149"/>
    <w:rsid w:val="0045458D"/>
    <w:rsid w:val="004555D8"/>
    <w:rsid w:val="00457FB7"/>
    <w:rsid w:val="00460214"/>
    <w:rsid w:val="00460FCC"/>
    <w:rsid w:val="00461213"/>
    <w:rsid w:val="00463A64"/>
    <w:rsid w:val="00465B26"/>
    <w:rsid w:val="004674D6"/>
    <w:rsid w:val="00470F65"/>
    <w:rsid w:val="0047109B"/>
    <w:rsid w:val="004710E0"/>
    <w:rsid w:val="00471A3D"/>
    <w:rsid w:val="00471CE2"/>
    <w:rsid w:val="0047685E"/>
    <w:rsid w:val="004778F3"/>
    <w:rsid w:val="00477CB7"/>
    <w:rsid w:val="00477E04"/>
    <w:rsid w:val="00481274"/>
    <w:rsid w:val="00481B1D"/>
    <w:rsid w:val="00481DA8"/>
    <w:rsid w:val="0048226E"/>
    <w:rsid w:val="0048326C"/>
    <w:rsid w:val="00483AA2"/>
    <w:rsid w:val="00484875"/>
    <w:rsid w:val="00484A2A"/>
    <w:rsid w:val="00485E1A"/>
    <w:rsid w:val="0048615C"/>
    <w:rsid w:val="00487480"/>
    <w:rsid w:val="0049034F"/>
    <w:rsid w:val="00490926"/>
    <w:rsid w:val="00490E6F"/>
    <w:rsid w:val="0049102B"/>
    <w:rsid w:val="00491836"/>
    <w:rsid w:val="004922AD"/>
    <w:rsid w:val="00494CF2"/>
    <w:rsid w:val="004962DD"/>
    <w:rsid w:val="004963D7"/>
    <w:rsid w:val="00496F82"/>
    <w:rsid w:val="004970D8"/>
    <w:rsid w:val="00497B56"/>
    <w:rsid w:val="004A0DEF"/>
    <w:rsid w:val="004A1F30"/>
    <w:rsid w:val="004A2209"/>
    <w:rsid w:val="004A324A"/>
    <w:rsid w:val="004A3688"/>
    <w:rsid w:val="004A3CCE"/>
    <w:rsid w:val="004A484D"/>
    <w:rsid w:val="004A619F"/>
    <w:rsid w:val="004A67D8"/>
    <w:rsid w:val="004A6D16"/>
    <w:rsid w:val="004A6E03"/>
    <w:rsid w:val="004A7A2E"/>
    <w:rsid w:val="004B04C5"/>
    <w:rsid w:val="004B0624"/>
    <w:rsid w:val="004B2C5B"/>
    <w:rsid w:val="004B374B"/>
    <w:rsid w:val="004B4ADA"/>
    <w:rsid w:val="004B6156"/>
    <w:rsid w:val="004C04B0"/>
    <w:rsid w:val="004C06C9"/>
    <w:rsid w:val="004C0E51"/>
    <w:rsid w:val="004C2809"/>
    <w:rsid w:val="004C40D3"/>
    <w:rsid w:val="004C45C6"/>
    <w:rsid w:val="004C4E3C"/>
    <w:rsid w:val="004C6CBB"/>
    <w:rsid w:val="004C70F7"/>
    <w:rsid w:val="004C77A1"/>
    <w:rsid w:val="004C7B04"/>
    <w:rsid w:val="004C7D81"/>
    <w:rsid w:val="004C7FEE"/>
    <w:rsid w:val="004D0599"/>
    <w:rsid w:val="004D2C3B"/>
    <w:rsid w:val="004D4A0B"/>
    <w:rsid w:val="004D4DD0"/>
    <w:rsid w:val="004E0401"/>
    <w:rsid w:val="004E129C"/>
    <w:rsid w:val="004E174D"/>
    <w:rsid w:val="004E2F4B"/>
    <w:rsid w:val="004E3892"/>
    <w:rsid w:val="004E45F2"/>
    <w:rsid w:val="004E6557"/>
    <w:rsid w:val="004E7D8C"/>
    <w:rsid w:val="004E7DB8"/>
    <w:rsid w:val="004F0CB1"/>
    <w:rsid w:val="004F1947"/>
    <w:rsid w:val="004F2AB2"/>
    <w:rsid w:val="004F2BDD"/>
    <w:rsid w:val="004F2BEA"/>
    <w:rsid w:val="004F3F4C"/>
    <w:rsid w:val="004F4EF2"/>
    <w:rsid w:val="004F4F9E"/>
    <w:rsid w:val="004F57DA"/>
    <w:rsid w:val="004F617E"/>
    <w:rsid w:val="004F7212"/>
    <w:rsid w:val="00501FD6"/>
    <w:rsid w:val="00502DA0"/>
    <w:rsid w:val="00503E97"/>
    <w:rsid w:val="00504847"/>
    <w:rsid w:val="00504CBB"/>
    <w:rsid w:val="00504EED"/>
    <w:rsid w:val="00505C45"/>
    <w:rsid w:val="0051074A"/>
    <w:rsid w:val="005116CD"/>
    <w:rsid w:val="00511F27"/>
    <w:rsid w:val="005134E3"/>
    <w:rsid w:val="00513F07"/>
    <w:rsid w:val="00514DC6"/>
    <w:rsid w:val="0051510A"/>
    <w:rsid w:val="00515547"/>
    <w:rsid w:val="00520157"/>
    <w:rsid w:val="0052280F"/>
    <w:rsid w:val="005234D5"/>
    <w:rsid w:val="0052386C"/>
    <w:rsid w:val="00524E14"/>
    <w:rsid w:val="00525AAB"/>
    <w:rsid w:val="0052769E"/>
    <w:rsid w:val="00530421"/>
    <w:rsid w:val="00531CEA"/>
    <w:rsid w:val="005326EF"/>
    <w:rsid w:val="005329A7"/>
    <w:rsid w:val="0053353E"/>
    <w:rsid w:val="00536033"/>
    <w:rsid w:val="005370A9"/>
    <w:rsid w:val="00540048"/>
    <w:rsid w:val="00540E6C"/>
    <w:rsid w:val="00541AA4"/>
    <w:rsid w:val="00541CB4"/>
    <w:rsid w:val="00541EE0"/>
    <w:rsid w:val="00543B6B"/>
    <w:rsid w:val="00543E9D"/>
    <w:rsid w:val="00546BCE"/>
    <w:rsid w:val="0054701C"/>
    <w:rsid w:val="00547CBB"/>
    <w:rsid w:val="00550D06"/>
    <w:rsid w:val="00551096"/>
    <w:rsid w:val="005513DA"/>
    <w:rsid w:val="00551B2D"/>
    <w:rsid w:val="00555DEB"/>
    <w:rsid w:val="00556889"/>
    <w:rsid w:val="005570B9"/>
    <w:rsid w:val="00560276"/>
    <w:rsid w:val="005627A9"/>
    <w:rsid w:val="005642FB"/>
    <w:rsid w:val="005654A6"/>
    <w:rsid w:val="0056665E"/>
    <w:rsid w:val="005701F9"/>
    <w:rsid w:val="005703E8"/>
    <w:rsid w:val="0057075A"/>
    <w:rsid w:val="00574C99"/>
    <w:rsid w:val="00575C56"/>
    <w:rsid w:val="00577A4D"/>
    <w:rsid w:val="0058348E"/>
    <w:rsid w:val="00583FF6"/>
    <w:rsid w:val="00584CAE"/>
    <w:rsid w:val="00584DB3"/>
    <w:rsid w:val="005902D9"/>
    <w:rsid w:val="00590948"/>
    <w:rsid w:val="00593B62"/>
    <w:rsid w:val="00594FB0"/>
    <w:rsid w:val="005956C5"/>
    <w:rsid w:val="0059619D"/>
    <w:rsid w:val="00597A83"/>
    <w:rsid w:val="00597C27"/>
    <w:rsid w:val="005A0B97"/>
    <w:rsid w:val="005A17C9"/>
    <w:rsid w:val="005A76C7"/>
    <w:rsid w:val="005B0C82"/>
    <w:rsid w:val="005B23DD"/>
    <w:rsid w:val="005B2D12"/>
    <w:rsid w:val="005B36AD"/>
    <w:rsid w:val="005B387C"/>
    <w:rsid w:val="005B3D6D"/>
    <w:rsid w:val="005B3FEA"/>
    <w:rsid w:val="005B4020"/>
    <w:rsid w:val="005B5271"/>
    <w:rsid w:val="005B7553"/>
    <w:rsid w:val="005B7B08"/>
    <w:rsid w:val="005C0D2C"/>
    <w:rsid w:val="005C0FF1"/>
    <w:rsid w:val="005C155D"/>
    <w:rsid w:val="005C1591"/>
    <w:rsid w:val="005C284D"/>
    <w:rsid w:val="005C28D7"/>
    <w:rsid w:val="005C2CE7"/>
    <w:rsid w:val="005C3212"/>
    <w:rsid w:val="005C5169"/>
    <w:rsid w:val="005D2AF6"/>
    <w:rsid w:val="005D32C4"/>
    <w:rsid w:val="005D3CE0"/>
    <w:rsid w:val="005D409B"/>
    <w:rsid w:val="005D4EFF"/>
    <w:rsid w:val="005E08DD"/>
    <w:rsid w:val="005E0F07"/>
    <w:rsid w:val="005E0FF5"/>
    <w:rsid w:val="005E10B3"/>
    <w:rsid w:val="005E14FD"/>
    <w:rsid w:val="005E2236"/>
    <w:rsid w:val="005E4332"/>
    <w:rsid w:val="005E4F24"/>
    <w:rsid w:val="005E50B2"/>
    <w:rsid w:val="005E537C"/>
    <w:rsid w:val="005E6994"/>
    <w:rsid w:val="005E76AD"/>
    <w:rsid w:val="005E7965"/>
    <w:rsid w:val="005F03A1"/>
    <w:rsid w:val="005F1A7C"/>
    <w:rsid w:val="005F37BD"/>
    <w:rsid w:val="005F398B"/>
    <w:rsid w:val="005F3F3E"/>
    <w:rsid w:val="005F4BB8"/>
    <w:rsid w:val="005F6D94"/>
    <w:rsid w:val="005F753F"/>
    <w:rsid w:val="006015D3"/>
    <w:rsid w:val="00603664"/>
    <w:rsid w:val="0060384D"/>
    <w:rsid w:val="00603FBF"/>
    <w:rsid w:val="00605271"/>
    <w:rsid w:val="00605D2A"/>
    <w:rsid w:val="00606906"/>
    <w:rsid w:val="00606B62"/>
    <w:rsid w:val="006076D7"/>
    <w:rsid w:val="00607EEC"/>
    <w:rsid w:val="00610440"/>
    <w:rsid w:val="006104CF"/>
    <w:rsid w:val="006109F9"/>
    <w:rsid w:val="00610B63"/>
    <w:rsid w:val="00611645"/>
    <w:rsid w:val="006125DC"/>
    <w:rsid w:val="0061265F"/>
    <w:rsid w:val="00612BD1"/>
    <w:rsid w:val="00612D94"/>
    <w:rsid w:val="00613CF9"/>
    <w:rsid w:val="0061400D"/>
    <w:rsid w:val="0061455C"/>
    <w:rsid w:val="006160C2"/>
    <w:rsid w:val="0061785E"/>
    <w:rsid w:val="00617EC6"/>
    <w:rsid w:val="00617FAF"/>
    <w:rsid w:val="00620FB1"/>
    <w:rsid w:val="006227AD"/>
    <w:rsid w:val="00622A05"/>
    <w:rsid w:val="0062569B"/>
    <w:rsid w:val="0063161C"/>
    <w:rsid w:val="00632D86"/>
    <w:rsid w:val="00633C68"/>
    <w:rsid w:val="00633FB3"/>
    <w:rsid w:val="00634E2B"/>
    <w:rsid w:val="00635A89"/>
    <w:rsid w:val="00635BE2"/>
    <w:rsid w:val="00635F70"/>
    <w:rsid w:val="00636464"/>
    <w:rsid w:val="00637159"/>
    <w:rsid w:val="00637671"/>
    <w:rsid w:val="00641C3A"/>
    <w:rsid w:val="00641FDA"/>
    <w:rsid w:val="00643516"/>
    <w:rsid w:val="006461EE"/>
    <w:rsid w:val="00646E97"/>
    <w:rsid w:val="0064729E"/>
    <w:rsid w:val="006501C4"/>
    <w:rsid w:val="00651882"/>
    <w:rsid w:val="00652CD5"/>
    <w:rsid w:val="0066098D"/>
    <w:rsid w:val="00660F43"/>
    <w:rsid w:val="006614D6"/>
    <w:rsid w:val="00661534"/>
    <w:rsid w:val="00661FB2"/>
    <w:rsid w:val="006639A1"/>
    <w:rsid w:val="00664D43"/>
    <w:rsid w:val="006663AC"/>
    <w:rsid w:val="006671D8"/>
    <w:rsid w:val="00670220"/>
    <w:rsid w:val="006703FE"/>
    <w:rsid w:val="00672D5C"/>
    <w:rsid w:val="00674E3C"/>
    <w:rsid w:val="006764AE"/>
    <w:rsid w:val="00676780"/>
    <w:rsid w:val="00676D9E"/>
    <w:rsid w:val="00677A1B"/>
    <w:rsid w:val="00681308"/>
    <w:rsid w:val="00681E8D"/>
    <w:rsid w:val="006825B2"/>
    <w:rsid w:val="006826F8"/>
    <w:rsid w:val="00682794"/>
    <w:rsid w:val="00683B13"/>
    <w:rsid w:val="00683BB1"/>
    <w:rsid w:val="006845B9"/>
    <w:rsid w:val="006850FB"/>
    <w:rsid w:val="00686B28"/>
    <w:rsid w:val="00687B7E"/>
    <w:rsid w:val="00690828"/>
    <w:rsid w:val="00692355"/>
    <w:rsid w:val="00693CAE"/>
    <w:rsid w:val="00696BA3"/>
    <w:rsid w:val="00696F54"/>
    <w:rsid w:val="0069773A"/>
    <w:rsid w:val="00697B0D"/>
    <w:rsid w:val="00697FEE"/>
    <w:rsid w:val="006A5D63"/>
    <w:rsid w:val="006A69EB"/>
    <w:rsid w:val="006B1000"/>
    <w:rsid w:val="006B1470"/>
    <w:rsid w:val="006B1699"/>
    <w:rsid w:val="006B2645"/>
    <w:rsid w:val="006B2A82"/>
    <w:rsid w:val="006B3F0F"/>
    <w:rsid w:val="006B5410"/>
    <w:rsid w:val="006B6316"/>
    <w:rsid w:val="006B6331"/>
    <w:rsid w:val="006B6B64"/>
    <w:rsid w:val="006B74CD"/>
    <w:rsid w:val="006C06EC"/>
    <w:rsid w:val="006C0821"/>
    <w:rsid w:val="006C0D28"/>
    <w:rsid w:val="006C1013"/>
    <w:rsid w:val="006C1FC3"/>
    <w:rsid w:val="006C2CC5"/>
    <w:rsid w:val="006C4E19"/>
    <w:rsid w:val="006C54F6"/>
    <w:rsid w:val="006C6FF6"/>
    <w:rsid w:val="006C783C"/>
    <w:rsid w:val="006D03FB"/>
    <w:rsid w:val="006D04B4"/>
    <w:rsid w:val="006D04F2"/>
    <w:rsid w:val="006D05D5"/>
    <w:rsid w:val="006D0F59"/>
    <w:rsid w:val="006D357F"/>
    <w:rsid w:val="006D4B27"/>
    <w:rsid w:val="006D4D7C"/>
    <w:rsid w:val="006D5607"/>
    <w:rsid w:val="006D68C8"/>
    <w:rsid w:val="006D6AE9"/>
    <w:rsid w:val="006D7605"/>
    <w:rsid w:val="006D7B6C"/>
    <w:rsid w:val="006D7EB8"/>
    <w:rsid w:val="006E27DF"/>
    <w:rsid w:val="006E2D7D"/>
    <w:rsid w:val="006E2EC6"/>
    <w:rsid w:val="006E5763"/>
    <w:rsid w:val="006E6221"/>
    <w:rsid w:val="006E6832"/>
    <w:rsid w:val="006E6F00"/>
    <w:rsid w:val="006F0C24"/>
    <w:rsid w:val="006F141D"/>
    <w:rsid w:val="006F3608"/>
    <w:rsid w:val="006F363D"/>
    <w:rsid w:val="006F4897"/>
    <w:rsid w:val="006F4B56"/>
    <w:rsid w:val="006F4CBC"/>
    <w:rsid w:val="006F55ED"/>
    <w:rsid w:val="006F5FAC"/>
    <w:rsid w:val="006F74C3"/>
    <w:rsid w:val="006F7C3E"/>
    <w:rsid w:val="00701AAD"/>
    <w:rsid w:val="00702398"/>
    <w:rsid w:val="007036AC"/>
    <w:rsid w:val="00703EFF"/>
    <w:rsid w:val="00705355"/>
    <w:rsid w:val="0070615E"/>
    <w:rsid w:val="0070756F"/>
    <w:rsid w:val="00713BC1"/>
    <w:rsid w:val="00714679"/>
    <w:rsid w:val="007147E8"/>
    <w:rsid w:val="00715EDD"/>
    <w:rsid w:val="0072002E"/>
    <w:rsid w:val="0072098D"/>
    <w:rsid w:val="00720B22"/>
    <w:rsid w:val="00721565"/>
    <w:rsid w:val="00722039"/>
    <w:rsid w:val="0072228C"/>
    <w:rsid w:val="00724688"/>
    <w:rsid w:val="0072578B"/>
    <w:rsid w:val="00726086"/>
    <w:rsid w:val="0072649E"/>
    <w:rsid w:val="00730D09"/>
    <w:rsid w:val="00731605"/>
    <w:rsid w:val="00731D8A"/>
    <w:rsid w:val="00731ED7"/>
    <w:rsid w:val="00732248"/>
    <w:rsid w:val="00732984"/>
    <w:rsid w:val="00732BA0"/>
    <w:rsid w:val="00740312"/>
    <w:rsid w:val="00740EB3"/>
    <w:rsid w:val="00741FAF"/>
    <w:rsid w:val="00742675"/>
    <w:rsid w:val="007427E5"/>
    <w:rsid w:val="00742A0E"/>
    <w:rsid w:val="00742E07"/>
    <w:rsid w:val="007501B0"/>
    <w:rsid w:val="007528BB"/>
    <w:rsid w:val="00752BB6"/>
    <w:rsid w:val="00752BFD"/>
    <w:rsid w:val="00753236"/>
    <w:rsid w:val="00755A76"/>
    <w:rsid w:val="007560E8"/>
    <w:rsid w:val="00756466"/>
    <w:rsid w:val="00756BA2"/>
    <w:rsid w:val="00760090"/>
    <w:rsid w:val="00760A20"/>
    <w:rsid w:val="00760D7F"/>
    <w:rsid w:val="00761486"/>
    <w:rsid w:val="007634C4"/>
    <w:rsid w:val="00764234"/>
    <w:rsid w:val="00766B0A"/>
    <w:rsid w:val="00766C48"/>
    <w:rsid w:val="0076784B"/>
    <w:rsid w:val="00770A91"/>
    <w:rsid w:val="007729A6"/>
    <w:rsid w:val="00772DCC"/>
    <w:rsid w:val="00773A32"/>
    <w:rsid w:val="0077586F"/>
    <w:rsid w:val="007765CB"/>
    <w:rsid w:val="00776FF2"/>
    <w:rsid w:val="0077767A"/>
    <w:rsid w:val="00781595"/>
    <w:rsid w:val="007817D2"/>
    <w:rsid w:val="0078327A"/>
    <w:rsid w:val="00783CFE"/>
    <w:rsid w:val="0079157C"/>
    <w:rsid w:val="007936C9"/>
    <w:rsid w:val="00793FF8"/>
    <w:rsid w:val="0079422F"/>
    <w:rsid w:val="00796275"/>
    <w:rsid w:val="00797A20"/>
    <w:rsid w:val="00797EAC"/>
    <w:rsid w:val="00797FF2"/>
    <w:rsid w:val="007A2170"/>
    <w:rsid w:val="007A255F"/>
    <w:rsid w:val="007A2AB2"/>
    <w:rsid w:val="007A3509"/>
    <w:rsid w:val="007A397A"/>
    <w:rsid w:val="007A3FEB"/>
    <w:rsid w:val="007A4336"/>
    <w:rsid w:val="007A4AEA"/>
    <w:rsid w:val="007A4C83"/>
    <w:rsid w:val="007A55F8"/>
    <w:rsid w:val="007A5DE9"/>
    <w:rsid w:val="007A622A"/>
    <w:rsid w:val="007A6FA6"/>
    <w:rsid w:val="007A7016"/>
    <w:rsid w:val="007A71F6"/>
    <w:rsid w:val="007B09E6"/>
    <w:rsid w:val="007B1686"/>
    <w:rsid w:val="007B1F48"/>
    <w:rsid w:val="007B2D34"/>
    <w:rsid w:val="007B410B"/>
    <w:rsid w:val="007B450E"/>
    <w:rsid w:val="007B568F"/>
    <w:rsid w:val="007B5BAD"/>
    <w:rsid w:val="007C1E8E"/>
    <w:rsid w:val="007C3A5C"/>
    <w:rsid w:val="007C4877"/>
    <w:rsid w:val="007C5C0D"/>
    <w:rsid w:val="007C5C3D"/>
    <w:rsid w:val="007C6273"/>
    <w:rsid w:val="007C7500"/>
    <w:rsid w:val="007D0151"/>
    <w:rsid w:val="007D05D0"/>
    <w:rsid w:val="007D0D38"/>
    <w:rsid w:val="007D308B"/>
    <w:rsid w:val="007D34A5"/>
    <w:rsid w:val="007D37BC"/>
    <w:rsid w:val="007D5173"/>
    <w:rsid w:val="007D78F9"/>
    <w:rsid w:val="007E13C8"/>
    <w:rsid w:val="007E1681"/>
    <w:rsid w:val="007E20A3"/>
    <w:rsid w:val="007E250D"/>
    <w:rsid w:val="007E28D4"/>
    <w:rsid w:val="007E44FC"/>
    <w:rsid w:val="007E4CFB"/>
    <w:rsid w:val="007E5190"/>
    <w:rsid w:val="007E5281"/>
    <w:rsid w:val="007E5C63"/>
    <w:rsid w:val="007E628D"/>
    <w:rsid w:val="007E7252"/>
    <w:rsid w:val="007E7744"/>
    <w:rsid w:val="007E77C7"/>
    <w:rsid w:val="007F1060"/>
    <w:rsid w:val="007F1B80"/>
    <w:rsid w:val="007F1CE3"/>
    <w:rsid w:val="007F2BE0"/>
    <w:rsid w:val="007F3C66"/>
    <w:rsid w:val="007F3F70"/>
    <w:rsid w:val="007F5F17"/>
    <w:rsid w:val="00802C19"/>
    <w:rsid w:val="00803575"/>
    <w:rsid w:val="00804DF6"/>
    <w:rsid w:val="00805601"/>
    <w:rsid w:val="00805C85"/>
    <w:rsid w:val="0080746A"/>
    <w:rsid w:val="00811927"/>
    <w:rsid w:val="0081196E"/>
    <w:rsid w:val="008130B4"/>
    <w:rsid w:val="00814BD5"/>
    <w:rsid w:val="00816699"/>
    <w:rsid w:val="008201D1"/>
    <w:rsid w:val="0082085A"/>
    <w:rsid w:val="00821AAE"/>
    <w:rsid w:val="008224FA"/>
    <w:rsid w:val="00823BCC"/>
    <w:rsid w:val="00823E32"/>
    <w:rsid w:val="008240D7"/>
    <w:rsid w:val="008243A8"/>
    <w:rsid w:val="008247A1"/>
    <w:rsid w:val="00826165"/>
    <w:rsid w:val="008276FD"/>
    <w:rsid w:val="008300E2"/>
    <w:rsid w:val="00830CB4"/>
    <w:rsid w:val="00831232"/>
    <w:rsid w:val="008319E5"/>
    <w:rsid w:val="00831D43"/>
    <w:rsid w:val="008322D5"/>
    <w:rsid w:val="00832567"/>
    <w:rsid w:val="008333DC"/>
    <w:rsid w:val="0083376D"/>
    <w:rsid w:val="00833F2F"/>
    <w:rsid w:val="0083592B"/>
    <w:rsid w:val="00836319"/>
    <w:rsid w:val="00836DC9"/>
    <w:rsid w:val="00837EBC"/>
    <w:rsid w:val="00840BA7"/>
    <w:rsid w:val="00840F52"/>
    <w:rsid w:val="00840FB8"/>
    <w:rsid w:val="00845979"/>
    <w:rsid w:val="00846B9C"/>
    <w:rsid w:val="00847498"/>
    <w:rsid w:val="008474E6"/>
    <w:rsid w:val="00847D36"/>
    <w:rsid w:val="00847F6C"/>
    <w:rsid w:val="0085051C"/>
    <w:rsid w:val="00851DDD"/>
    <w:rsid w:val="00853093"/>
    <w:rsid w:val="00854EEE"/>
    <w:rsid w:val="008551AE"/>
    <w:rsid w:val="00855685"/>
    <w:rsid w:val="0085569F"/>
    <w:rsid w:val="008558ED"/>
    <w:rsid w:val="0085616C"/>
    <w:rsid w:val="008563F9"/>
    <w:rsid w:val="00856BDE"/>
    <w:rsid w:val="0086014A"/>
    <w:rsid w:val="00861A50"/>
    <w:rsid w:val="00862A7B"/>
    <w:rsid w:val="00864081"/>
    <w:rsid w:val="00864227"/>
    <w:rsid w:val="008676FB"/>
    <w:rsid w:val="00867F7D"/>
    <w:rsid w:val="008707A9"/>
    <w:rsid w:val="008712FF"/>
    <w:rsid w:val="0087224C"/>
    <w:rsid w:val="008723A9"/>
    <w:rsid w:val="0087291F"/>
    <w:rsid w:val="0087628B"/>
    <w:rsid w:val="00876C58"/>
    <w:rsid w:val="00880359"/>
    <w:rsid w:val="00881110"/>
    <w:rsid w:val="00881439"/>
    <w:rsid w:val="00881D9D"/>
    <w:rsid w:val="00885821"/>
    <w:rsid w:val="008861A5"/>
    <w:rsid w:val="008906B3"/>
    <w:rsid w:val="0089101C"/>
    <w:rsid w:val="00891617"/>
    <w:rsid w:val="00891777"/>
    <w:rsid w:val="008918EA"/>
    <w:rsid w:val="00891F7A"/>
    <w:rsid w:val="008934BD"/>
    <w:rsid w:val="00893B8D"/>
    <w:rsid w:val="008951BF"/>
    <w:rsid w:val="00895508"/>
    <w:rsid w:val="00897F46"/>
    <w:rsid w:val="008A0210"/>
    <w:rsid w:val="008A02B8"/>
    <w:rsid w:val="008A2148"/>
    <w:rsid w:val="008A3E94"/>
    <w:rsid w:val="008A652D"/>
    <w:rsid w:val="008A7015"/>
    <w:rsid w:val="008B10E4"/>
    <w:rsid w:val="008B1168"/>
    <w:rsid w:val="008B156F"/>
    <w:rsid w:val="008B17C0"/>
    <w:rsid w:val="008B3C27"/>
    <w:rsid w:val="008B4843"/>
    <w:rsid w:val="008B58CA"/>
    <w:rsid w:val="008B6AE5"/>
    <w:rsid w:val="008C06CD"/>
    <w:rsid w:val="008C0A76"/>
    <w:rsid w:val="008C1052"/>
    <w:rsid w:val="008C168F"/>
    <w:rsid w:val="008C2F0C"/>
    <w:rsid w:val="008C3450"/>
    <w:rsid w:val="008C42A3"/>
    <w:rsid w:val="008C6C5A"/>
    <w:rsid w:val="008C6E81"/>
    <w:rsid w:val="008C723E"/>
    <w:rsid w:val="008C7EDD"/>
    <w:rsid w:val="008D06BA"/>
    <w:rsid w:val="008D179D"/>
    <w:rsid w:val="008D2257"/>
    <w:rsid w:val="008D281E"/>
    <w:rsid w:val="008D3556"/>
    <w:rsid w:val="008D4A1D"/>
    <w:rsid w:val="008D5199"/>
    <w:rsid w:val="008D53F8"/>
    <w:rsid w:val="008D544E"/>
    <w:rsid w:val="008D74B2"/>
    <w:rsid w:val="008E000D"/>
    <w:rsid w:val="008E0D04"/>
    <w:rsid w:val="008E13C8"/>
    <w:rsid w:val="008E1EB4"/>
    <w:rsid w:val="008E28C0"/>
    <w:rsid w:val="008E2A31"/>
    <w:rsid w:val="008E3BD6"/>
    <w:rsid w:val="008E5ED7"/>
    <w:rsid w:val="008E63BA"/>
    <w:rsid w:val="008F09AB"/>
    <w:rsid w:val="008F168A"/>
    <w:rsid w:val="008F1BB6"/>
    <w:rsid w:val="008F2373"/>
    <w:rsid w:val="008F3912"/>
    <w:rsid w:val="008F3BB2"/>
    <w:rsid w:val="008F5699"/>
    <w:rsid w:val="008F588C"/>
    <w:rsid w:val="008F59BF"/>
    <w:rsid w:val="008F5E6E"/>
    <w:rsid w:val="008F60EC"/>
    <w:rsid w:val="008F62DB"/>
    <w:rsid w:val="008F6F1D"/>
    <w:rsid w:val="008F7638"/>
    <w:rsid w:val="00900591"/>
    <w:rsid w:val="00902183"/>
    <w:rsid w:val="0090223D"/>
    <w:rsid w:val="009024E5"/>
    <w:rsid w:val="00902FF9"/>
    <w:rsid w:val="0090376C"/>
    <w:rsid w:val="009048FD"/>
    <w:rsid w:val="009053F2"/>
    <w:rsid w:val="00907118"/>
    <w:rsid w:val="00907B3D"/>
    <w:rsid w:val="00907D1C"/>
    <w:rsid w:val="00911654"/>
    <w:rsid w:val="0091184E"/>
    <w:rsid w:val="00911EAB"/>
    <w:rsid w:val="00911EF6"/>
    <w:rsid w:val="009128D4"/>
    <w:rsid w:val="00913253"/>
    <w:rsid w:val="00915183"/>
    <w:rsid w:val="009157E2"/>
    <w:rsid w:val="00915E51"/>
    <w:rsid w:val="00916888"/>
    <w:rsid w:val="00916C81"/>
    <w:rsid w:val="009173E6"/>
    <w:rsid w:val="00917B3A"/>
    <w:rsid w:val="00917B9B"/>
    <w:rsid w:val="00917E88"/>
    <w:rsid w:val="0092200B"/>
    <w:rsid w:val="0092354F"/>
    <w:rsid w:val="009244F4"/>
    <w:rsid w:val="00924B68"/>
    <w:rsid w:val="0092563A"/>
    <w:rsid w:val="00926057"/>
    <w:rsid w:val="0092740B"/>
    <w:rsid w:val="009279E5"/>
    <w:rsid w:val="00927DC2"/>
    <w:rsid w:val="00932679"/>
    <w:rsid w:val="00932744"/>
    <w:rsid w:val="00932B66"/>
    <w:rsid w:val="00932D0E"/>
    <w:rsid w:val="00935C31"/>
    <w:rsid w:val="00940F9F"/>
    <w:rsid w:val="00941463"/>
    <w:rsid w:val="0094392A"/>
    <w:rsid w:val="00943962"/>
    <w:rsid w:val="00943F03"/>
    <w:rsid w:val="00944966"/>
    <w:rsid w:val="00946C1F"/>
    <w:rsid w:val="00946CD3"/>
    <w:rsid w:val="009504AA"/>
    <w:rsid w:val="00951F9C"/>
    <w:rsid w:val="00953296"/>
    <w:rsid w:val="00954F20"/>
    <w:rsid w:val="009550EE"/>
    <w:rsid w:val="00955387"/>
    <w:rsid w:val="00960835"/>
    <w:rsid w:val="00963497"/>
    <w:rsid w:val="00963D82"/>
    <w:rsid w:val="009654CC"/>
    <w:rsid w:val="0096559C"/>
    <w:rsid w:val="00971DC0"/>
    <w:rsid w:val="00972004"/>
    <w:rsid w:val="00972510"/>
    <w:rsid w:val="00974A8C"/>
    <w:rsid w:val="00976EBE"/>
    <w:rsid w:val="00977FD0"/>
    <w:rsid w:val="009805C0"/>
    <w:rsid w:val="00981043"/>
    <w:rsid w:val="00981A5B"/>
    <w:rsid w:val="00981E7B"/>
    <w:rsid w:val="00982B3B"/>
    <w:rsid w:val="00984E46"/>
    <w:rsid w:val="00984E6A"/>
    <w:rsid w:val="00984FBA"/>
    <w:rsid w:val="00985E9C"/>
    <w:rsid w:val="00985F69"/>
    <w:rsid w:val="0098641C"/>
    <w:rsid w:val="009864DD"/>
    <w:rsid w:val="009871F3"/>
    <w:rsid w:val="00987CE8"/>
    <w:rsid w:val="00987E14"/>
    <w:rsid w:val="00990C50"/>
    <w:rsid w:val="00993897"/>
    <w:rsid w:val="00993A81"/>
    <w:rsid w:val="00995394"/>
    <w:rsid w:val="00995588"/>
    <w:rsid w:val="00996819"/>
    <w:rsid w:val="00997002"/>
    <w:rsid w:val="009977EC"/>
    <w:rsid w:val="0099799F"/>
    <w:rsid w:val="009A3312"/>
    <w:rsid w:val="009A4095"/>
    <w:rsid w:val="009A5063"/>
    <w:rsid w:val="009A5277"/>
    <w:rsid w:val="009A5B90"/>
    <w:rsid w:val="009B030A"/>
    <w:rsid w:val="009B06B9"/>
    <w:rsid w:val="009B0A63"/>
    <w:rsid w:val="009B1E37"/>
    <w:rsid w:val="009B3014"/>
    <w:rsid w:val="009B4561"/>
    <w:rsid w:val="009B4B23"/>
    <w:rsid w:val="009B5682"/>
    <w:rsid w:val="009B5A52"/>
    <w:rsid w:val="009B7800"/>
    <w:rsid w:val="009B7A45"/>
    <w:rsid w:val="009B7D11"/>
    <w:rsid w:val="009B7D75"/>
    <w:rsid w:val="009C05A0"/>
    <w:rsid w:val="009C075D"/>
    <w:rsid w:val="009C11AA"/>
    <w:rsid w:val="009C200E"/>
    <w:rsid w:val="009C2442"/>
    <w:rsid w:val="009C2989"/>
    <w:rsid w:val="009C298B"/>
    <w:rsid w:val="009C2AA2"/>
    <w:rsid w:val="009C32A2"/>
    <w:rsid w:val="009C49D9"/>
    <w:rsid w:val="009C53FF"/>
    <w:rsid w:val="009C6919"/>
    <w:rsid w:val="009D0559"/>
    <w:rsid w:val="009D1016"/>
    <w:rsid w:val="009D112E"/>
    <w:rsid w:val="009D1C93"/>
    <w:rsid w:val="009D40FE"/>
    <w:rsid w:val="009D464A"/>
    <w:rsid w:val="009D61A2"/>
    <w:rsid w:val="009D7BD3"/>
    <w:rsid w:val="009E05A3"/>
    <w:rsid w:val="009E107A"/>
    <w:rsid w:val="009E29A5"/>
    <w:rsid w:val="009E2AAA"/>
    <w:rsid w:val="009E31A3"/>
    <w:rsid w:val="009E5DA4"/>
    <w:rsid w:val="009E6056"/>
    <w:rsid w:val="009E60E0"/>
    <w:rsid w:val="009E6416"/>
    <w:rsid w:val="009E6C19"/>
    <w:rsid w:val="009E6D74"/>
    <w:rsid w:val="009E6FD6"/>
    <w:rsid w:val="009E73A4"/>
    <w:rsid w:val="009F0AB4"/>
    <w:rsid w:val="009F0CD7"/>
    <w:rsid w:val="009F2C20"/>
    <w:rsid w:val="009F325B"/>
    <w:rsid w:val="009F4724"/>
    <w:rsid w:val="009F5EDA"/>
    <w:rsid w:val="009F6A7D"/>
    <w:rsid w:val="009F7226"/>
    <w:rsid w:val="009F743E"/>
    <w:rsid w:val="009F78D1"/>
    <w:rsid w:val="00A00B80"/>
    <w:rsid w:val="00A00DFC"/>
    <w:rsid w:val="00A01D04"/>
    <w:rsid w:val="00A02910"/>
    <w:rsid w:val="00A030D8"/>
    <w:rsid w:val="00A03946"/>
    <w:rsid w:val="00A03E4C"/>
    <w:rsid w:val="00A05E86"/>
    <w:rsid w:val="00A061F4"/>
    <w:rsid w:val="00A118F1"/>
    <w:rsid w:val="00A11955"/>
    <w:rsid w:val="00A14A4F"/>
    <w:rsid w:val="00A14BF1"/>
    <w:rsid w:val="00A154B4"/>
    <w:rsid w:val="00A15E35"/>
    <w:rsid w:val="00A17724"/>
    <w:rsid w:val="00A20BD5"/>
    <w:rsid w:val="00A21474"/>
    <w:rsid w:val="00A215CF"/>
    <w:rsid w:val="00A24577"/>
    <w:rsid w:val="00A24C12"/>
    <w:rsid w:val="00A26610"/>
    <w:rsid w:val="00A279C0"/>
    <w:rsid w:val="00A311B6"/>
    <w:rsid w:val="00A33186"/>
    <w:rsid w:val="00A33AAE"/>
    <w:rsid w:val="00A34625"/>
    <w:rsid w:val="00A37BEE"/>
    <w:rsid w:val="00A42101"/>
    <w:rsid w:val="00A43B1F"/>
    <w:rsid w:val="00A449B6"/>
    <w:rsid w:val="00A44CA2"/>
    <w:rsid w:val="00A44F19"/>
    <w:rsid w:val="00A46698"/>
    <w:rsid w:val="00A51392"/>
    <w:rsid w:val="00A52CE7"/>
    <w:rsid w:val="00A530B8"/>
    <w:rsid w:val="00A536E7"/>
    <w:rsid w:val="00A5377A"/>
    <w:rsid w:val="00A538BA"/>
    <w:rsid w:val="00A53BC9"/>
    <w:rsid w:val="00A5429B"/>
    <w:rsid w:val="00A57BD0"/>
    <w:rsid w:val="00A60CE3"/>
    <w:rsid w:val="00A610B6"/>
    <w:rsid w:val="00A61545"/>
    <w:rsid w:val="00A615CA"/>
    <w:rsid w:val="00A61AF7"/>
    <w:rsid w:val="00A62AE1"/>
    <w:rsid w:val="00A634FE"/>
    <w:rsid w:val="00A63D76"/>
    <w:rsid w:val="00A64293"/>
    <w:rsid w:val="00A64B9F"/>
    <w:rsid w:val="00A65700"/>
    <w:rsid w:val="00A65F58"/>
    <w:rsid w:val="00A66736"/>
    <w:rsid w:val="00A674B2"/>
    <w:rsid w:val="00A71B0C"/>
    <w:rsid w:val="00A734B0"/>
    <w:rsid w:val="00A735DB"/>
    <w:rsid w:val="00A73E3C"/>
    <w:rsid w:val="00A73EF7"/>
    <w:rsid w:val="00A75108"/>
    <w:rsid w:val="00A756C9"/>
    <w:rsid w:val="00A76061"/>
    <w:rsid w:val="00A7630F"/>
    <w:rsid w:val="00A7732A"/>
    <w:rsid w:val="00A8110B"/>
    <w:rsid w:val="00A82F67"/>
    <w:rsid w:val="00A83F61"/>
    <w:rsid w:val="00A872DF"/>
    <w:rsid w:val="00A900C1"/>
    <w:rsid w:val="00A90BBC"/>
    <w:rsid w:val="00A91E88"/>
    <w:rsid w:val="00A92391"/>
    <w:rsid w:val="00A94225"/>
    <w:rsid w:val="00A94A9A"/>
    <w:rsid w:val="00A950B4"/>
    <w:rsid w:val="00A9526C"/>
    <w:rsid w:val="00A953E6"/>
    <w:rsid w:val="00A958A2"/>
    <w:rsid w:val="00A95B1C"/>
    <w:rsid w:val="00A9688E"/>
    <w:rsid w:val="00A96A59"/>
    <w:rsid w:val="00A973F5"/>
    <w:rsid w:val="00A9744C"/>
    <w:rsid w:val="00A97BC0"/>
    <w:rsid w:val="00A97E6A"/>
    <w:rsid w:val="00AA00AC"/>
    <w:rsid w:val="00AA02B0"/>
    <w:rsid w:val="00AA120D"/>
    <w:rsid w:val="00AA1FFC"/>
    <w:rsid w:val="00AA2EDA"/>
    <w:rsid w:val="00AA45F3"/>
    <w:rsid w:val="00AA4601"/>
    <w:rsid w:val="00AA4E74"/>
    <w:rsid w:val="00AA4E76"/>
    <w:rsid w:val="00AA7E16"/>
    <w:rsid w:val="00AB2573"/>
    <w:rsid w:val="00AB2A95"/>
    <w:rsid w:val="00AB2E46"/>
    <w:rsid w:val="00AB3083"/>
    <w:rsid w:val="00AB5DD1"/>
    <w:rsid w:val="00AB6A41"/>
    <w:rsid w:val="00AB72EF"/>
    <w:rsid w:val="00AB76E8"/>
    <w:rsid w:val="00AB787B"/>
    <w:rsid w:val="00AC065B"/>
    <w:rsid w:val="00AC1F42"/>
    <w:rsid w:val="00AC5350"/>
    <w:rsid w:val="00AC6386"/>
    <w:rsid w:val="00AC6EF1"/>
    <w:rsid w:val="00AD00F5"/>
    <w:rsid w:val="00AD2B20"/>
    <w:rsid w:val="00AD2B9F"/>
    <w:rsid w:val="00AE0471"/>
    <w:rsid w:val="00AE0D51"/>
    <w:rsid w:val="00AE2168"/>
    <w:rsid w:val="00AE72D7"/>
    <w:rsid w:val="00AF02F2"/>
    <w:rsid w:val="00AF0B2E"/>
    <w:rsid w:val="00AF33F4"/>
    <w:rsid w:val="00AF399B"/>
    <w:rsid w:val="00AF5852"/>
    <w:rsid w:val="00AF606B"/>
    <w:rsid w:val="00AF6BFD"/>
    <w:rsid w:val="00B013A3"/>
    <w:rsid w:val="00B015A1"/>
    <w:rsid w:val="00B018CD"/>
    <w:rsid w:val="00B03426"/>
    <w:rsid w:val="00B03461"/>
    <w:rsid w:val="00B03D1E"/>
    <w:rsid w:val="00B0471C"/>
    <w:rsid w:val="00B048A8"/>
    <w:rsid w:val="00B06A02"/>
    <w:rsid w:val="00B075BE"/>
    <w:rsid w:val="00B1067F"/>
    <w:rsid w:val="00B12804"/>
    <w:rsid w:val="00B12919"/>
    <w:rsid w:val="00B12E9B"/>
    <w:rsid w:val="00B144EA"/>
    <w:rsid w:val="00B1504A"/>
    <w:rsid w:val="00B16714"/>
    <w:rsid w:val="00B16F7A"/>
    <w:rsid w:val="00B176CF"/>
    <w:rsid w:val="00B221F8"/>
    <w:rsid w:val="00B2257B"/>
    <w:rsid w:val="00B22B97"/>
    <w:rsid w:val="00B2421C"/>
    <w:rsid w:val="00B25CED"/>
    <w:rsid w:val="00B26774"/>
    <w:rsid w:val="00B27246"/>
    <w:rsid w:val="00B27FB7"/>
    <w:rsid w:val="00B30384"/>
    <w:rsid w:val="00B32A5A"/>
    <w:rsid w:val="00B346E0"/>
    <w:rsid w:val="00B368C3"/>
    <w:rsid w:val="00B40403"/>
    <w:rsid w:val="00B40539"/>
    <w:rsid w:val="00B413F6"/>
    <w:rsid w:val="00B41822"/>
    <w:rsid w:val="00B42B0B"/>
    <w:rsid w:val="00B42CF9"/>
    <w:rsid w:val="00B440C2"/>
    <w:rsid w:val="00B44BA7"/>
    <w:rsid w:val="00B451AA"/>
    <w:rsid w:val="00B455E9"/>
    <w:rsid w:val="00B46A8E"/>
    <w:rsid w:val="00B4728F"/>
    <w:rsid w:val="00B477EC"/>
    <w:rsid w:val="00B52402"/>
    <w:rsid w:val="00B52D14"/>
    <w:rsid w:val="00B564FF"/>
    <w:rsid w:val="00B60C40"/>
    <w:rsid w:val="00B61E77"/>
    <w:rsid w:val="00B630B0"/>
    <w:rsid w:val="00B64186"/>
    <w:rsid w:val="00B64A55"/>
    <w:rsid w:val="00B669A5"/>
    <w:rsid w:val="00B6712F"/>
    <w:rsid w:val="00B67EDA"/>
    <w:rsid w:val="00B7051B"/>
    <w:rsid w:val="00B70D5C"/>
    <w:rsid w:val="00B70EC4"/>
    <w:rsid w:val="00B71008"/>
    <w:rsid w:val="00B72EB0"/>
    <w:rsid w:val="00B72F93"/>
    <w:rsid w:val="00B74561"/>
    <w:rsid w:val="00B7457F"/>
    <w:rsid w:val="00B74A21"/>
    <w:rsid w:val="00B74CB6"/>
    <w:rsid w:val="00B77979"/>
    <w:rsid w:val="00B77FA3"/>
    <w:rsid w:val="00B80723"/>
    <w:rsid w:val="00B80C4D"/>
    <w:rsid w:val="00B80D67"/>
    <w:rsid w:val="00B80E58"/>
    <w:rsid w:val="00B8194D"/>
    <w:rsid w:val="00B81D0E"/>
    <w:rsid w:val="00B81D58"/>
    <w:rsid w:val="00B82648"/>
    <w:rsid w:val="00B8374B"/>
    <w:rsid w:val="00B838F6"/>
    <w:rsid w:val="00B84C0E"/>
    <w:rsid w:val="00B85932"/>
    <w:rsid w:val="00B871D5"/>
    <w:rsid w:val="00B87B38"/>
    <w:rsid w:val="00B90C41"/>
    <w:rsid w:val="00B90F85"/>
    <w:rsid w:val="00B91B1F"/>
    <w:rsid w:val="00B91FA6"/>
    <w:rsid w:val="00B9296D"/>
    <w:rsid w:val="00B929F7"/>
    <w:rsid w:val="00B9384F"/>
    <w:rsid w:val="00B939C0"/>
    <w:rsid w:val="00B9471D"/>
    <w:rsid w:val="00B95C64"/>
    <w:rsid w:val="00B967C4"/>
    <w:rsid w:val="00B97274"/>
    <w:rsid w:val="00B975CB"/>
    <w:rsid w:val="00B978DF"/>
    <w:rsid w:val="00BA0054"/>
    <w:rsid w:val="00BA0318"/>
    <w:rsid w:val="00BA0358"/>
    <w:rsid w:val="00BA07A9"/>
    <w:rsid w:val="00BA1B05"/>
    <w:rsid w:val="00BA39A6"/>
    <w:rsid w:val="00BA3B1F"/>
    <w:rsid w:val="00BA5511"/>
    <w:rsid w:val="00BA6060"/>
    <w:rsid w:val="00BA6CA0"/>
    <w:rsid w:val="00BA6EEA"/>
    <w:rsid w:val="00BB4D7F"/>
    <w:rsid w:val="00BB54A1"/>
    <w:rsid w:val="00BB55BD"/>
    <w:rsid w:val="00BB6E33"/>
    <w:rsid w:val="00BB6E7D"/>
    <w:rsid w:val="00BC0CB4"/>
    <w:rsid w:val="00BC19A9"/>
    <w:rsid w:val="00BC209E"/>
    <w:rsid w:val="00BC31D4"/>
    <w:rsid w:val="00BC4167"/>
    <w:rsid w:val="00BC4347"/>
    <w:rsid w:val="00BC4A6D"/>
    <w:rsid w:val="00BC58F0"/>
    <w:rsid w:val="00BC6940"/>
    <w:rsid w:val="00BD0834"/>
    <w:rsid w:val="00BD12CC"/>
    <w:rsid w:val="00BD19A9"/>
    <w:rsid w:val="00BD2978"/>
    <w:rsid w:val="00BD2AE0"/>
    <w:rsid w:val="00BD3030"/>
    <w:rsid w:val="00BD30A2"/>
    <w:rsid w:val="00BD3345"/>
    <w:rsid w:val="00BD3A62"/>
    <w:rsid w:val="00BD4C99"/>
    <w:rsid w:val="00BD6481"/>
    <w:rsid w:val="00BE02BD"/>
    <w:rsid w:val="00BE0341"/>
    <w:rsid w:val="00BE0D25"/>
    <w:rsid w:val="00BE1141"/>
    <w:rsid w:val="00BE1406"/>
    <w:rsid w:val="00BE2300"/>
    <w:rsid w:val="00BE5ADD"/>
    <w:rsid w:val="00BE5D3F"/>
    <w:rsid w:val="00BE6ED2"/>
    <w:rsid w:val="00BE6FDB"/>
    <w:rsid w:val="00BE75BE"/>
    <w:rsid w:val="00BE7BB0"/>
    <w:rsid w:val="00BF08B1"/>
    <w:rsid w:val="00BF2900"/>
    <w:rsid w:val="00BF2D25"/>
    <w:rsid w:val="00BF315E"/>
    <w:rsid w:val="00BF5CBF"/>
    <w:rsid w:val="00BF602A"/>
    <w:rsid w:val="00BF6692"/>
    <w:rsid w:val="00C00637"/>
    <w:rsid w:val="00C019F8"/>
    <w:rsid w:val="00C0228D"/>
    <w:rsid w:val="00C0257E"/>
    <w:rsid w:val="00C02665"/>
    <w:rsid w:val="00C0335E"/>
    <w:rsid w:val="00C046F5"/>
    <w:rsid w:val="00C04EB5"/>
    <w:rsid w:val="00C05531"/>
    <w:rsid w:val="00C05D27"/>
    <w:rsid w:val="00C06879"/>
    <w:rsid w:val="00C07935"/>
    <w:rsid w:val="00C07A81"/>
    <w:rsid w:val="00C10E7C"/>
    <w:rsid w:val="00C11AE9"/>
    <w:rsid w:val="00C11DEE"/>
    <w:rsid w:val="00C11E7C"/>
    <w:rsid w:val="00C120FF"/>
    <w:rsid w:val="00C14418"/>
    <w:rsid w:val="00C17CA6"/>
    <w:rsid w:val="00C17FB3"/>
    <w:rsid w:val="00C2101F"/>
    <w:rsid w:val="00C21119"/>
    <w:rsid w:val="00C21E17"/>
    <w:rsid w:val="00C22308"/>
    <w:rsid w:val="00C22AA8"/>
    <w:rsid w:val="00C22B01"/>
    <w:rsid w:val="00C24560"/>
    <w:rsid w:val="00C24F89"/>
    <w:rsid w:val="00C250E0"/>
    <w:rsid w:val="00C259FC"/>
    <w:rsid w:val="00C30766"/>
    <w:rsid w:val="00C30C78"/>
    <w:rsid w:val="00C31381"/>
    <w:rsid w:val="00C330FE"/>
    <w:rsid w:val="00C332FD"/>
    <w:rsid w:val="00C3399B"/>
    <w:rsid w:val="00C33ABA"/>
    <w:rsid w:val="00C3470C"/>
    <w:rsid w:val="00C34A0F"/>
    <w:rsid w:val="00C34BCC"/>
    <w:rsid w:val="00C352C9"/>
    <w:rsid w:val="00C35387"/>
    <w:rsid w:val="00C357FD"/>
    <w:rsid w:val="00C40BD7"/>
    <w:rsid w:val="00C4175D"/>
    <w:rsid w:val="00C41A87"/>
    <w:rsid w:val="00C41BEC"/>
    <w:rsid w:val="00C42808"/>
    <w:rsid w:val="00C43456"/>
    <w:rsid w:val="00C44B58"/>
    <w:rsid w:val="00C47129"/>
    <w:rsid w:val="00C50036"/>
    <w:rsid w:val="00C50E5F"/>
    <w:rsid w:val="00C51D0D"/>
    <w:rsid w:val="00C51E97"/>
    <w:rsid w:val="00C54746"/>
    <w:rsid w:val="00C55195"/>
    <w:rsid w:val="00C560CA"/>
    <w:rsid w:val="00C570E3"/>
    <w:rsid w:val="00C57275"/>
    <w:rsid w:val="00C57393"/>
    <w:rsid w:val="00C5757E"/>
    <w:rsid w:val="00C576A8"/>
    <w:rsid w:val="00C621A2"/>
    <w:rsid w:val="00C632E9"/>
    <w:rsid w:val="00C639C3"/>
    <w:rsid w:val="00C64810"/>
    <w:rsid w:val="00C6653C"/>
    <w:rsid w:val="00C66CD8"/>
    <w:rsid w:val="00C7071A"/>
    <w:rsid w:val="00C70D99"/>
    <w:rsid w:val="00C740C0"/>
    <w:rsid w:val="00C74750"/>
    <w:rsid w:val="00C74E84"/>
    <w:rsid w:val="00C7678D"/>
    <w:rsid w:val="00C80287"/>
    <w:rsid w:val="00C8056B"/>
    <w:rsid w:val="00C80ABA"/>
    <w:rsid w:val="00C81551"/>
    <w:rsid w:val="00C822F2"/>
    <w:rsid w:val="00C825EC"/>
    <w:rsid w:val="00C83151"/>
    <w:rsid w:val="00C83362"/>
    <w:rsid w:val="00C83BAE"/>
    <w:rsid w:val="00C85505"/>
    <w:rsid w:val="00C87261"/>
    <w:rsid w:val="00C8755B"/>
    <w:rsid w:val="00C87F3D"/>
    <w:rsid w:val="00C90085"/>
    <w:rsid w:val="00C907B6"/>
    <w:rsid w:val="00C90B9E"/>
    <w:rsid w:val="00C931B1"/>
    <w:rsid w:val="00C9436D"/>
    <w:rsid w:val="00C94A7B"/>
    <w:rsid w:val="00C96525"/>
    <w:rsid w:val="00C96B89"/>
    <w:rsid w:val="00CA0500"/>
    <w:rsid w:val="00CA1570"/>
    <w:rsid w:val="00CA1E54"/>
    <w:rsid w:val="00CA2927"/>
    <w:rsid w:val="00CA34D5"/>
    <w:rsid w:val="00CA6149"/>
    <w:rsid w:val="00CA6AC2"/>
    <w:rsid w:val="00CA6F20"/>
    <w:rsid w:val="00CB3A1D"/>
    <w:rsid w:val="00CB52B7"/>
    <w:rsid w:val="00CB53A3"/>
    <w:rsid w:val="00CB5AC5"/>
    <w:rsid w:val="00CB611A"/>
    <w:rsid w:val="00CB61E4"/>
    <w:rsid w:val="00CB6B7F"/>
    <w:rsid w:val="00CB79C4"/>
    <w:rsid w:val="00CC3790"/>
    <w:rsid w:val="00CC4531"/>
    <w:rsid w:val="00CC4C59"/>
    <w:rsid w:val="00CC5FF6"/>
    <w:rsid w:val="00CC63E2"/>
    <w:rsid w:val="00CC6458"/>
    <w:rsid w:val="00CC7655"/>
    <w:rsid w:val="00CC76D3"/>
    <w:rsid w:val="00CC773F"/>
    <w:rsid w:val="00CD038D"/>
    <w:rsid w:val="00CD1B49"/>
    <w:rsid w:val="00CD3A83"/>
    <w:rsid w:val="00CD4B53"/>
    <w:rsid w:val="00CD587B"/>
    <w:rsid w:val="00CD6392"/>
    <w:rsid w:val="00CD69F1"/>
    <w:rsid w:val="00CD7812"/>
    <w:rsid w:val="00CE3083"/>
    <w:rsid w:val="00CE35D8"/>
    <w:rsid w:val="00CE45D7"/>
    <w:rsid w:val="00CE47B2"/>
    <w:rsid w:val="00CE54F3"/>
    <w:rsid w:val="00CE5778"/>
    <w:rsid w:val="00CE5905"/>
    <w:rsid w:val="00CE6387"/>
    <w:rsid w:val="00CF057A"/>
    <w:rsid w:val="00CF6E70"/>
    <w:rsid w:val="00D00179"/>
    <w:rsid w:val="00D02A98"/>
    <w:rsid w:val="00D038B1"/>
    <w:rsid w:val="00D069B6"/>
    <w:rsid w:val="00D072D6"/>
    <w:rsid w:val="00D1237A"/>
    <w:rsid w:val="00D12491"/>
    <w:rsid w:val="00D12780"/>
    <w:rsid w:val="00D14B12"/>
    <w:rsid w:val="00D14B20"/>
    <w:rsid w:val="00D157C7"/>
    <w:rsid w:val="00D16893"/>
    <w:rsid w:val="00D17930"/>
    <w:rsid w:val="00D213D7"/>
    <w:rsid w:val="00D224DF"/>
    <w:rsid w:val="00D22526"/>
    <w:rsid w:val="00D22E37"/>
    <w:rsid w:val="00D268FC"/>
    <w:rsid w:val="00D27A29"/>
    <w:rsid w:val="00D304F4"/>
    <w:rsid w:val="00D30822"/>
    <w:rsid w:val="00D30D5B"/>
    <w:rsid w:val="00D30F55"/>
    <w:rsid w:val="00D3122A"/>
    <w:rsid w:val="00D31E98"/>
    <w:rsid w:val="00D322BC"/>
    <w:rsid w:val="00D322C2"/>
    <w:rsid w:val="00D3288B"/>
    <w:rsid w:val="00D33D06"/>
    <w:rsid w:val="00D3474F"/>
    <w:rsid w:val="00D36690"/>
    <w:rsid w:val="00D36B6B"/>
    <w:rsid w:val="00D3728F"/>
    <w:rsid w:val="00D37F5E"/>
    <w:rsid w:val="00D40AF8"/>
    <w:rsid w:val="00D41A9F"/>
    <w:rsid w:val="00D4315F"/>
    <w:rsid w:val="00D45D4F"/>
    <w:rsid w:val="00D471B8"/>
    <w:rsid w:val="00D4744B"/>
    <w:rsid w:val="00D510A8"/>
    <w:rsid w:val="00D513D6"/>
    <w:rsid w:val="00D521C5"/>
    <w:rsid w:val="00D52492"/>
    <w:rsid w:val="00D5424E"/>
    <w:rsid w:val="00D54417"/>
    <w:rsid w:val="00D54821"/>
    <w:rsid w:val="00D551A6"/>
    <w:rsid w:val="00D55B54"/>
    <w:rsid w:val="00D55C80"/>
    <w:rsid w:val="00D55DF1"/>
    <w:rsid w:val="00D562DB"/>
    <w:rsid w:val="00D56358"/>
    <w:rsid w:val="00D57058"/>
    <w:rsid w:val="00D57329"/>
    <w:rsid w:val="00D61A1A"/>
    <w:rsid w:val="00D62455"/>
    <w:rsid w:val="00D66459"/>
    <w:rsid w:val="00D6649E"/>
    <w:rsid w:val="00D669D3"/>
    <w:rsid w:val="00D66D60"/>
    <w:rsid w:val="00D676CB"/>
    <w:rsid w:val="00D67CD9"/>
    <w:rsid w:val="00D67D33"/>
    <w:rsid w:val="00D7196C"/>
    <w:rsid w:val="00D7240D"/>
    <w:rsid w:val="00D72C62"/>
    <w:rsid w:val="00D74541"/>
    <w:rsid w:val="00D7505A"/>
    <w:rsid w:val="00D779BC"/>
    <w:rsid w:val="00D800FC"/>
    <w:rsid w:val="00D80588"/>
    <w:rsid w:val="00D8146A"/>
    <w:rsid w:val="00D82871"/>
    <w:rsid w:val="00D84B09"/>
    <w:rsid w:val="00D85FF6"/>
    <w:rsid w:val="00D91017"/>
    <w:rsid w:val="00D9111F"/>
    <w:rsid w:val="00D93FF3"/>
    <w:rsid w:val="00D947E5"/>
    <w:rsid w:val="00D94EA3"/>
    <w:rsid w:val="00D959E9"/>
    <w:rsid w:val="00DA1E72"/>
    <w:rsid w:val="00DA2CFB"/>
    <w:rsid w:val="00DA42A4"/>
    <w:rsid w:val="00DA644E"/>
    <w:rsid w:val="00DA65A2"/>
    <w:rsid w:val="00DA684F"/>
    <w:rsid w:val="00DA723B"/>
    <w:rsid w:val="00DA7FAB"/>
    <w:rsid w:val="00DA7FF0"/>
    <w:rsid w:val="00DB0ACE"/>
    <w:rsid w:val="00DB10AA"/>
    <w:rsid w:val="00DB30FB"/>
    <w:rsid w:val="00DB3219"/>
    <w:rsid w:val="00DB42BA"/>
    <w:rsid w:val="00DB45B9"/>
    <w:rsid w:val="00DB584F"/>
    <w:rsid w:val="00DB5E00"/>
    <w:rsid w:val="00DB64CE"/>
    <w:rsid w:val="00DB7276"/>
    <w:rsid w:val="00DB7748"/>
    <w:rsid w:val="00DC1C5C"/>
    <w:rsid w:val="00DC31D6"/>
    <w:rsid w:val="00DC4042"/>
    <w:rsid w:val="00DC5620"/>
    <w:rsid w:val="00DC5E9D"/>
    <w:rsid w:val="00DC692A"/>
    <w:rsid w:val="00DC726E"/>
    <w:rsid w:val="00DC749F"/>
    <w:rsid w:val="00DD0F54"/>
    <w:rsid w:val="00DD2BFD"/>
    <w:rsid w:val="00DD304F"/>
    <w:rsid w:val="00DD316E"/>
    <w:rsid w:val="00DD347E"/>
    <w:rsid w:val="00DD3D77"/>
    <w:rsid w:val="00DD4311"/>
    <w:rsid w:val="00DD6F76"/>
    <w:rsid w:val="00DD6FE0"/>
    <w:rsid w:val="00DD7122"/>
    <w:rsid w:val="00DE07DE"/>
    <w:rsid w:val="00DE19D0"/>
    <w:rsid w:val="00DE3714"/>
    <w:rsid w:val="00DE3A81"/>
    <w:rsid w:val="00DE5EBF"/>
    <w:rsid w:val="00DE6A8C"/>
    <w:rsid w:val="00DE6FC1"/>
    <w:rsid w:val="00DE7AA8"/>
    <w:rsid w:val="00DF028A"/>
    <w:rsid w:val="00DF46A1"/>
    <w:rsid w:val="00DF4C64"/>
    <w:rsid w:val="00DF4E8D"/>
    <w:rsid w:val="00DF50C8"/>
    <w:rsid w:val="00DF7491"/>
    <w:rsid w:val="00E00EE3"/>
    <w:rsid w:val="00E01185"/>
    <w:rsid w:val="00E01A3A"/>
    <w:rsid w:val="00E03850"/>
    <w:rsid w:val="00E04339"/>
    <w:rsid w:val="00E0516F"/>
    <w:rsid w:val="00E06126"/>
    <w:rsid w:val="00E066BC"/>
    <w:rsid w:val="00E06809"/>
    <w:rsid w:val="00E07AFB"/>
    <w:rsid w:val="00E10212"/>
    <w:rsid w:val="00E1074E"/>
    <w:rsid w:val="00E11788"/>
    <w:rsid w:val="00E11C64"/>
    <w:rsid w:val="00E11C9D"/>
    <w:rsid w:val="00E12068"/>
    <w:rsid w:val="00E12D0C"/>
    <w:rsid w:val="00E133E5"/>
    <w:rsid w:val="00E134D8"/>
    <w:rsid w:val="00E13CEC"/>
    <w:rsid w:val="00E14503"/>
    <w:rsid w:val="00E152AB"/>
    <w:rsid w:val="00E15743"/>
    <w:rsid w:val="00E16459"/>
    <w:rsid w:val="00E17D6F"/>
    <w:rsid w:val="00E22BB0"/>
    <w:rsid w:val="00E24F17"/>
    <w:rsid w:val="00E25D79"/>
    <w:rsid w:val="00E2712C"/>
    <w:rsid w:val="00E27238"/>
    <w:rsid w:val="00E272DB"/>
    <w:rsid w:val="00E27CF6"/>
    <w:rsid w:val="00E27D61"/>
    <w:rsid w:val="00E33816"/>
    <w:rsid w:val="00E35784"/>
    <w:rsid w:val="00E36F44"/>
    <w:rsid w:val="00E371E9"/>
    <w:rsid w:val="00E4046F"/>
    <w:rsid w:val="00E409AB"/>
    <w:rsid w:val="00E41930"/>
    <w:rsid w:val="00E42131"/>
    <w:rsid w:val="00E427CF"/>
    <w:rsid w:val="00E430B1"/>
    <w:rsid w:val="00E43129"/>
    <w:rsid w:val="00E438FF"/>
    <w:rsid w:val="00E43EED"/>
    <w:rsid w:val="00E4458B"/>
    <w:rsid w:val="00E448D7"/>
    <w:rsid w:val="00E44EBA"/>
    <w:rsid w:val="00E5156C"/>
    <w:rsid w:val="00E5488F"/>
    <w:rsid w:val="00E54C50"/>
    <w:rsid w:val="00E54F22"/>
    <w:rsid w:val="00E55205"/>
    <w:rsid w:val="00E55B58"/>
    <w:rsid w:val="00E57100"/>
    <w:rsid w:val="00E573F3"/>
    <w:rsid w:val="00E600CA"/>
    <w:rsid w:val="00E62CD6"/>
    <w:rsid w:val="00E62F20"/>
    <w:rsid w:val="00E63889"/>
    <w:rsid w:val="00E65CE5"/>
    <w:rsid w:val="00E65E2A"/>
    <w:rsid w:val="00E663B0"/>
    <w:rsid w:val="00E67399"/>
    <w:rsid w:val="00E67BA2"/>
    <w:rsid w:val="00E67D08"/>
    <w:rsid w:val="00E70CBA"/>
    <w:rsid w:val="00E70EEE"/>
    <w:rsid w:val="00E716AC"/>
    <w:rsid w:val="00E71F93"/>
    <w:rsid w:val="00E7203E"/>
    <w:rsid w:val="00E72455"/>
    <w:rsid w:val="00E7337C"/>
    <w:rsid w:val="00E73A12"/>
    <w:rsid w:val="00E73F7F"/>
    <w:rsid w:val="00E7591A"/>
    <w:rsid w:val="00E76AF8"/>
    <w:rsid w:val="00E800C5"/>
    <w:rsid w:val="00E80289"/>
    <w:rsid w:val="00E81233"/>
    <w:rsid w:val="00E81E66"/>
    <w:rsid w:val="00E821E2"/>
    <w:rsid w:val="00E82B67"/>
    <w:rsid w:val="00E8526B"/>
    <w:rsid w:val="00E852A8"/>
    <w:rsid w:val="00E90067"/>
    <w:rsid w:val="00E902AB"/>
    <w:rsid w:val="00E909F8"/>
    <w:rsid w:val="00E90D90"/>
    <w:rsid w:val="00E920A4"/>
    <w:rsid w:val="00E947B5"/>
    <w:rsid w:val="00E94870"/>
    <w:rsid w:val="00E95550"/>
    <w:rsid w:val="00E97051"/>
    <w:rsid w:val="00E97232"/>
    <w:rsid w:val="00E975B6"/>
    <w:rsid w:val="00EA1046"/>
    <w:rsid w:val="00EA1637"/>
    <w:rsid w:val="00EA35AB"/>
    <w:rsid w:val="00EA3BEC"/>
    <w:rsid w:val="00EA46A2"/>
    <w:rsid w:val="00EA495D"/>
    <w:rsid w:val="00EA58BE"/>
    <w:rsid w:val="00EA6521"/>
    <w:rsid w:val="00EA722F"/>
    <w:rsid w:val="00EB0A87"/>
    <w:rsid w:val="00EB0EEC"/>
    <w:rsid w:val="00EB1D0B"/>
    <w:rsid w:val="00EB22DD"/>
    <w:rsid w:val="00EB2406"/>
    <w:rsid w:val="00EB279B"/>
    <w:rsid w:val="00EB32CB"/>
    <w:rsid w:val="00EB3BA7"/>
    <w:rsid w:val="00EB3D51"/>
    <w:rsid w:val="00EB4E23"/>
    <w:rsid w:val="00EB4F6B"/>
    <w:rsid w:val="00EB5401"/>
    <w:rsid w:val="00EB7BAE"/>
    <w:rsid w:val="00EC1626"/>
    <w:rsid w:val="00EC1927"/>
    <w:rsid w:val="00EC1F36"/>
    <w:rsid w:val="00EC55DF"/>
    <w:rsid w:val="00EC716F"/>
    <w:rsid w:val="00EC76B5"/>
    <w:rsid w:val="00EC7985"/>
    <w:rsid w:val="00ED0483"/>
    <w:rsid w:val="00ED07A3"/>
    <w:rsid w:val="00ED0C58"/>
    <w:rsid w:val="00ED1262"/>
    <w:rsid w:val="00ED2F3F"/>
    <w:rsid w:val="00ED5273"/>
    <w:rsid w:val="00ED5E3C"/>
    <w:rsid w:val="00ED6C7D"/>
    <w:rsid w:val="00EE127C"/>
    <w:rsid w:val="00EE3D72"/>
    <w:rsid w:val="00EE4C47"/>
    <w:rsid w:val="00EE5937"/>
    <w:rsid w:val="00EF021B"/>
    <w:rsid w:val="00EF0628"/>
    <w:rsid w:val="00EF1C9A"/>
    <w:rsid w:val="00EF5480"/>
    <w:rsid w:val="00EF6FAE"/>
    <w:rsid w:val="00EF7316"/>
    <w:rsid w:val="00F007D2"/>
    <w:rsid w:val="00F01CE0"/>
    <w:rsid w:val="00F062DD"/>
    <w:rsid w:val="00F07D83"/>
    <w:rsid w:val="00F105A9"/>
    <w:rsid w:val="00F1390F"/>
    <w:rsid w:val="00F13B39"/>
    <w:rsid w:val="00F14352"/>
    <w:rsid w:val="00F160BD"/>
    <w:rsid w:val="00F1654E"/>
    <w:rsid w:val="00F17606"/>
    <w:rsid w:val="00F201A6"/>
    <w:rsid w:val="00F20E6E"/>
    <w:rsid w:val="00F21807"/>
    <w:rsid w:val="00F21934"/>
    <w:rsid w:val="00F23485"/>
    <w:rsid w:val="00F2423A"/>
    <w:rsid w:val="00F24520"/>
    <w:rsid w:val="00F256CD"/>
    <w:rsid w:val="00F26628"/>
    <w:rsid w:val="00F26D32"/>
    <w:rsid w:val="00F26DA0"/>
    <w:rsid w:val="00F27754"/>
    <w:rsid w:val="00F306B3"/>
    <w:rsid w:val="00F31D43"/>
    <w:rsid w:val="00F3261F"/>
    <w:rsid w:val="00F32A2D"/>
    <w:rsid w:val="00F33204"/>
    <w:rsid w:val="00F33F1B"/>
    <w:rsid w:val="00F34FC0"/>
    <w:rsid w:val="00F357A2"/>
    <w:rsid w:val="00F358A6"/>
    <w:rsid w:val="00F35FB7"/>
    <w:rsid w:val="00F35FFA"/>
    <w:rsid w:val="00F40BD3"/>
    <w:rsid w:val="00F413FF"/>
    <w:rsid w:val="00F435A3"/>
    <w:rsid w:val="00F46BD0"/>
    <w:rsid w:val="00F502EF"/>
    <w:rsid w:val="00F50F4B"/>
    <w:rsid w:val="00F51303"/>
    <w:rsid w:val="00F5160F"/>
    <w:rsid w:val="00F54A5E"/>
    <w:rsid w:val="00F56A84"/>
    <w:rsid w:val="00F57D6C"/>
    <w:rsid w:val="00F62286"/>
    <w:rsid w:val="00F62694"/>
    <w:rsid w:val="00F62D2A"/>
    <w:rsid w:val="00F63356"/>
    <w:rsid w:val="00F636FD"/>
    <w:rsid w:val="00F639D5"/>
    <w:rsid w:val="00F64082"/>
    <w:rsid w:val="00F64F86"/>
    <w:rsid w:val="00F65102"/>
    <w:rsid w:val="00F6698A"/>
    <w:rsid w:val="00F700AB"/>
    <w:rsid w:val="00F70508"/>
    <w:rsid w:val="00F71859"/>
    <w:rsid w:val="00F71F34"/>
    <w:rsid w:val="00F73462"/>
    <w:rsid w:val="00F740E3"/>
    <w:rsid w:val="00F74C0E"/>
    <w:rsid w:val="00F76E3E"/>
    <w:rsid w:val="00F77DB2"/>
    <w:rsid w:val="00F85537"/>
    <w:rsid w:val="00F86B0D"/>
    <w:rsid w:val="00F8747B"/>
    <w:rsid w:val="00F91EDE"/>
    <w:rsid w:val="00F92EA8"/>
    <w:rsid w:val="00F9384F"/>
    <w:rsid w:val="00F95DB4"/>
    <w:rsid w:val="00F97819"/>
    <w:rsid w:val="00FA0B1F"/>
    <w:rsid w:val="00FA0C74"/>
    <w:rsid w:val="00FA178A"/>
    <w:rsid w:val="00FA1F0F"/>
    <w:rsid w:val="00FA2B3F"/>
    <w:rsid w:val="00FA2B48"/>
    <w:rsid w:val="00FA3E8D"/>
    <w:rsid w:val="00FA4EBD"/>
    <w:rsid w:val="00FA4EE7"/>
    <w:rsid w:val="00FA501F"/>
    <w:rsid w:val="00FA50CC"/>
    <w:rsid w:val="00FA51A1"/>
    <w:rsid w:val="00FA6BC9"/>
    <w:rsid w:val="00FA7E1D"/>
    <w:rsid w:val="00FA7F0D"/>
    <w:rsid w:val="00FB0127"/>
    <w:rsid w:val="00FB0D84"/>
    <w:rsid w:val="00FB17D3"/>
    <w:rsid w:val="00FB30A5"/>
    <w:rsid w:val="00FB3324"/>
    <w:rsid w:val="00FB492E"/>
    <w:rsid w:val="00FB4D15"/>
    <w:rsid w:val="00FB55C8"/>
    <w:rsid w:val="00FB5F8F"/>
    <w:rsid w:val="00FB6BB5"/>
    <w:rsid w:val="00FB6FD0"/>
    <w:rsid w:val="00FC09D1"/>
    <w:rsid w:val="00FC2E27"/>
    <w:rsid w:val="00FC30B6"/>
    <w:rsid w:val="00FC3327"/>
    <w:rsid w:val="00FC37E9"/>
    <w:rsid w:val="00FC5669"/>
    <w:rsid w:val="00FC7807"/>
    <w:rsid w:val="00FD0638"/>
    <w:rsid w:val="00FD3538"/>
    <w:rsid w:val="00FD428A"/>
    <w:rsid w:val="00FD4B8C"/>
    <w:rsid w:val="00FD626C"/>
    <w:rsid w:val="00FD65D4"/>
    <w:rsid w:val="00FD6F4B"/>
    <w:rsid w:val="00FE0347"/>
    <w:rsid w:val="00FE1953"/>
    <w:rsid w:val="00FE24DE"/>
    <w:rsid w:val="00FE251A"/>
    <w:rsid w:val="00FE2C37"/>
    <w:rsid w:val="00FE2C94"/>
    <w:rsid w:val="00FE2F45"/>
    <w:rsid w:val="00FE33A7"/>
    <w:rsid w:val="00FE46F9"/>
    <w:rsid w:val="00FE4A65"/>
    <w:rsid w:val="00FE4CAF"/>
    <w:rsid w:val="00FE5E6D"/>
    <w:rsid w:val="00FE64DC"/>
    <w:rsid w:val="00FE6B33"/>
    <w:rsid w:val="00FE6E60"/>
    <w:rsid w:val="00FF033E"/>
    <w:rsid w:val="00FF0619"/>
    <w:rsid w:val="00FF0861"/>
    <w:rsid w:val="00FF093F"/>
    <w:rsid w:val="00FF0A1B"/>
    <w:rsid w:val="00FF0CD9"/>
    <w:rsid w:val="00FF0D81"/>
    <w:rsid w:val="00FF12B6"/>
    <w:rsid w:val="00FF1F4C"/>
    <w:rsid w:val="00FF2007"/>
    <w:rsid w:val="00FF2238"/>
    <w:rsid w:val="00FF390E"/>
    <w:rsid w:val="00FF4558"/>
    <w:rsid w:val="00FF4E2B"/>
    <w:rsid w:val="00FF55F1"/>
    <w:rsid w:val="00FF57B8"/>
    <w:rsid w:val="00FF590D"/>
    <w:rsid w:val="00FF76D4"/>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7DA8"/>
  <w15:docId w15:val="{BE208D16-EDF8-4FD9-AAA1-5066EA7A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F4"/>
  </w:style>
  <w:style w:type="paragraph" w:styleId="Heading1">
    <w:name w:val="heading 1"/>
    <w:basedOn w:val="Normal"/>
    <w:next w:val="Normal"/>
    <w:link w:val="Heading1Char"/>
    <w:uiPriority w:val="9"/>
    <w:qFormat/>
    <w:rsid w:val="00A73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1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88F"/>
    <w:pPr>
      <w:ind w:left="720"/>
      <w:contextualSpacing/>
    </w:pPr>
  </w:style>
  <w:style w:type="character" w:styleId="Hyperlink">
    <w:name w:val="Hyperlink"/>
    <w:basedOn w:val="DefaultParagraphFont"/>
    <w:uiPriority w:val="99"/>
    <w:unhideWhenUsed/>
    <w:rsid w:val="001A0B0C"/>
    <w:rPr>
      <w:color w:val="0563C1" w:themeColor="hyperlink"/>
      <w:u w:val="single"/>
    </w:rPr>
  </w:style>
  <w:style w:type="character" w:styleId="UnresolvedMention">
    <w:name w:val="Unresolved Mention"/>
    <w:basedOn w:val="DefaultParagraphFont"/>
    <w:uiPriority w:val="99"/>
    <w:semiHidden/>
    <w:unhideWhenUsed/>
    <w:rsid w:val="001A0B0C"/>
    <w:rPr>
      <w:color w:val="605E5C"/>
      <w:shd w:val="clear" w:color="auto" w:fill="E1DFDD"/>
    </w:rPr>
  </w:style>
  <w:style w:type="character" w:styleId="FollowedHyperlink">
    <w:name w:val="FollowedHyperlink"/>
    <w:basedOn w:val="DefaultParagraphFont"/>
    <w:uiPriority w:val="99"/>
    <w:semiHidden/>
    <w:unhideWhenUsed/>
    <w:rsid w:val="00C57275"/>
    <w:rPr>
      <w:color w:val="954F72" w:themeColor="followedHyperlink"/>
      <w:u w:val="single"/>
    </w:rPr>
  </w:style>
  <w:style w:type="paragraph" w:styleId="Header">
    <w:name w:val="header"/>
    <w:basedOn w:val="Normal"/>
    <w:link w:val="HeaderChar"/>
    <w:uiPriority w:val="99"/>
    <w:unhideWhenUsed/>
    <w:rsid w:val="00AB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E8"/>
  </w:style>
  <w:style w:type="paragraph" w:styleId="Footer">
    <w:name w:val="footer"/>
    <w:basedOn w:val="Normal"/>
    <w:link w:val="FooterChar"/>
    <w:uiPriority w:val="99"/>
    <w:unhideWhenUsed/>
    <w:rsid w:val="00AB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E8"/>
  </w:style>
  <w:style w:type="paragraph" w:styleId="NormalWeb">
    <w:name w:val="Normal (Web)"/>
    <w:basedOn w:val="Normal"/>
    <w:uiPriority w:val="99"/>
    <w:unhideWhenUsed/>
    <w:rsid w:val="004C06C9"/>
    <w:rPr>
      <w:rFonts w:ascii="Times New Roman" w:hAnsi="Times New Roman" w:cs="Times New Roman"/>
      <w:sz w:val="24"/>
      <w:szCs w:val="24"/>
    </w:rPr>
  </w:style>
  <w:style w:type="character" w:styleId="Strong">
    <w:name w:val="Strong"/>
    <w:basedOn w:val="DefaultParagraphFont"/>
    <w:uiPriority w:val="22"/>
    <w:qFormat/>
    <w:rsid w:val="00375F87"/>
    <w:rPr>
      <w:b/>
      <w:bCs/>
    </w:rPr>
  </w:style>
  <w:style w:type="paragraph" w:styleId="NoSpacing">
    <w:name w:val="No Spacing"/>
    <w:uiPriority w:val="1"/>
    <w:qFormat/>
    <w:rsid w:val="00E73F7F"/>
    <w:pPr>
      <w:spacing w:after="0" w:line="240" w:lineRule="auto"/>
    </w:pPr>
  </w:style>
  <w:style w:type="paragraph" w:styleId="Revision">
    <w:name w:val="Revision"/>
    <w:hidden/>
    <w:uiPriority w:val="99"/>
    <w:semiHidden/>
    <w:rsid w:val="000B72EF"/>
    <w:pPr>
      <w:spacing w:after="0" w:line="240" w:lineRule="auto"/>
    </w:pPr>
  </w:style>
  <w:style w:type="character" w:customStyle="1" w:styleId="Heading2Char">
    <w:name w:val="Heading 2 Char"/>
    <w:basedOn w:val="DefaultParagraphFont"/>
    <w:link w:val="Heading2"/>
    <w:uiPriority w:val="9"/>
    <w:semiHidden/>
    <w:rsid w:val="004E174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734B0"/>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54004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607">
      <w:bodyDiv w:val="1"/>
      <w:marLeft w:val="0"/>
      <w:marRight w:val="0"/>
      <w:marTop w:val="0"/>
      <w:marBottom w:val="0"/>
      <w:divBdr>
        <w:top w:val="none" w:sz="0" w:space="0" w:color="auto"/>
        <w:left w:val="none" w:sz="0" w:space="0" w:color="auto"/>
        <w:bottom w:val="none" w:sz="0" w:space="0" w:color="auto"/>
        <w:right w:val="none" w:sz="0" w:space="0" w:color="auto"/>
      </w:divBdr>
    </w:div>
    <w:div w:id="60493494">
      <w:bodyDiv w:val="1"/>
      <w:marLeft w:val="0"/>
      <w:marRight w:val="0"/>
      <w:marTop w:val="0"/>
      <w:marBottom w:val="0"/>
      <w:divBdr>
        <w:top w:val="none" w:sz="0" w:space="0" w:color="auto"/>
        <w:left w:val="none" w:sz="0" w:space="0" w:color="auto"/>
        <w:bottom w:val="none" w:sz="0" w:space="0" w:color="auto"/>
        <w:right w:val="none" w:sz="0" w:space="0" w:color="auto"/>
      </w:divBdr>
    </w:div>
    <w:div w:id="92941961">
      <w:bodyDiv w:val="1"/>
      <w:marLeft w:val="0"/>
      <w:marRight w:val="0"/>
      <w:marTop w:val="0"/>
      <w:marBottom w:val="0"/>
      <w:divBdr>
        <w:top w:val="none" w:sz="0" w:space="0" w:color="auto"/>
        <w:left w:val="none" w:sz="0" w:space="0" w:color="auto"/>
        <w:bottom w:val="none" w:sz="0" w:space="0" w:color="auto"/>
        <w:right w:val="none" w:sz="0" w:space="0" w:color="auto"/>
      </w:divBdr>
    </w:div>
    <w:div w:id="146286429">
      <w:bodyDiv w:val="1"/>
      <w:marLeft w:val="0"/>
      <w:marRight w:val="0"/>
      <w:marTop w:val="0"/>
      <w:marBottom w:val="0"/>
      <w:divBdr>
        <w:top w:val="none" w:sz="0" w:space="0" w:color="auto"/>
        <w:left w:val="none" w:sz="0" w:space="0" w:color="auto"/>
        <w:bottom w:val="none" w:sz="0" w:space="0" w:color="auto"/>
        <w:right w:val="none" w:sz="0" w:space="0" w:color="auto"/>
      </w:divBdr>
    </w:div>
    <w:div w:id="169831045">
      <w:bodyDiv w:val="1"/>
      <w:marLeft w:val="0"/>
      <w:marRight w:val="0"/>
      <w:marTop w:val="0"/>
      <w:marBottom w:val="0"/>
      <w:divBdr>
        <w:top w:val="none" w:sz="0" w:space="0" w:color="auto"/>
        <w:left w:val="none" w:sz="0" w:space="0" w:color="auto"/>
        <w:bottom w:val="none" w:sz="0" w:space="0" w:color="auto"/>
        <w:right w:val="none" w:sz="0" w:space="0" w:color="auto"/>
      </w:divBdr>
      <w:divsChild>
        <w:div w:id="1667005739">
          <w:marLeft w:val="0"/>
          <w:marRight w:val="0"/>
          <w:marTop w:val="0"/>
          <w:marBottom w:val="0"/>
          <w:divBdr>
            <w:top w:val="none" w:sz="0" w:space="0" w:color="auto"/>
            <w:left w:val="none" w:sz="0" w:space="0" w:color="auto"/>
            <w:bottom w:val="none" w:sz="0" w:space="0" w:color="auto"/>
            <w:right w:val="none" w:sz="0" w:space="0" w:color="auto"/>
          </w:divBdr>
        </w:div>
        <w:div w:id="139810425">
          <w:marLeft w:val="0"/>
          <w:marRight w:val="0"/>
          <w:marTop w:val="0"/>
          <w:marBottom w:val="0"/>
          <w:divBdr>
            <w:top w:val="none" w:sz="0" w:space="0" w:color="auto"/>
            <w:left w:val="none" w:sz="0" w:space="0" w:color="auto"/>
            <w:bottom w:val="none" w:sz="0" w:space="0" w:color="auto"/>
            <w:right w:val="none" w:sz="0" w:space="0" w:color="auto"/>
          </w:divBdr>
        </w:div>
      </w:divsChild>
    </w:div>
    <w:div w:id="174077880">
      <w:bodyDiv w:val="1"/>
      <w:marLeft w:val="0"/>
      <w:marRight w:val="0"/>
      <w:marTop w:val="0"/>
      <w:marBottom w:val="0"/>
      <w:divBdr>
        <w:top w:val="none" w:sz="0" w:space="0" w:color="auto"/>
        <w:left w:val="none" w:sz="0" w:space="0" w:color="auto"/>
        <w:bottom w:val="none" w:sz="0" w:space="0" w:color="auto"/>
        <w:right w:val="none" w:sz="0" w:space="0" w:color="auto"/>
      </w:divBdr>
    </w:div>
    <w:div w:id="176700477">
      <w:bodyDiv w:val="1"/>
      <w:marLeft w:val="0"/>
      <w:marRight w:val="0"/>
      <w:marTop w:val="0"/>
      <w:marBottom w:val="0"/>
      <w:divBdr>
        <w:top w:val="none" w:sz="0" w:space="0" w:color="auto"/>
        <w:left w:val="none" w:sz="0" w:space="0" w:color="auto"/>
        <w:bottom w:val="none" w:sz="0" w:space="0" w:color="auto"/>
        <w:right w:val="none" w:sz="0" w:space="0" w:color="auto"/>
      </w:divBdr>
    </w:div>
    <w:div w:id="182863302">
      <w:bodyDiv w:val="1"/>
      <w:marLeft w:val="0"/>
      <w:marRight w:val="0"/>
      <w:marTop w:val="0"/>
      <w:marBottom w:val="0"/>
      <w:divBdr>
        <w:top w:val="none" w:sz="0" w:space="0" w:color="auto"/>
        <w:left w:val="none" w:sz="0" w:space="0" w:color="auto"/>
        <w:bottom w:val="none" w:sz="0" w:space="0" w:color="auto"/>
        <w:right w:val="none" w:sz="0" w:space="0" w:color="auto"/>
      </w:divBdr>
    </w:div>
    <w:div w:id="216864169">
      <w:bodyDiv w:val="1"/>
      <w:marLeft w:val="0"/>
      <w:marRight w:val="0"/>
      <w:marTop w:val="0"/>
      <w:marBottom w:val="0"/>
      <w:divBdr>
        <w:top w:val="none" w:sz="0" w:space="0" w:color="auto"/>
        <w:left w:val="none" w:sz="0" w:space="0" w:color="auto"/>
        <w:bottom w:val="none" w:sz="0" w:space="0" w:color="auto"/>
        <w:right w:val="none" w:sz="0" w:space="0" w:color="auto"/>
      </w:divBdr>
    </w:div>
    <w:div w:id="228806203">
      <w:bodyDiv w:val="1"/>
      <w:marLeft w:val="0"/>
      <w:marRight w:val="0"/>
      <w:marTop w:val="0"/>
      <w:marBottom w:val="0"/>
      <w:divBdr>
        <w:top w:val="none" w:sz="0" w:space="0" w:color="auto"/>
        <w:left w:val="none" w:sz="0" w:space="0" w:color="auto"/>
        <w:bottom w:val="none" w:sz="0" w:space="0" w:color="auto"/>
        <w:right w:val="none" w:sz="0" w:space="0" w:color="auto"/>
      </w:divBdr>
    </w:div>
    <w:div w:id="232157117">
      <w:bodyDiv w:val="1"/>
      <w:marLeft w:val="0"/>
      <w:marRight w:val="0"/>
      <w:marTop w:val="0"/>
      <w:marBottom w:val="0"/>
      <w:divBdr>
        <w:top w:val="none" w:sz="0" w:space="0" w:color="auto"/>
        <w:left w:val="none" w:sz="0" w:space="0" w:color="auto"/>
        <w:bottom w:val="none" w:sz="0" w:space="0" w:color="auto"/>
        <w:right w:val="none" w:sz="0" w:space="0" w:color="auto"/>
      </w:divBdr>
    </w:div>
    <w:div w:id="267391136">
      <w:bodyDiv w:val="1"/>
      <w:marLeft w:val="0"/>
      <w:marRight w:val="0"/>
      <w:marTop w:val="0"/>
      <w:marBottom w:val="0"/>
      <w:divBdr>
        <w:top w:val="none" w:sz="0" w:space="0" w:color="auto"/>
        <w:left w:val="none" w:sz="0" w:space="0" w:color="auto"/>
        <w:bottom w:val="none" w:sz="0" w:space="0" w:color="auto"/>
        <w:right w:val="none" w:sz="0" w:space="0" w:color="auto"/>
      </w:divBdr>
    </w:div>
    <w:div w:id="299263955">
      <w:bodyDiv w:val="1"/>
      <w:marLeft w:val="0"/>
      <w:marRight w:val="0"/>
      <w:marTop w:val="0"/>
      <w:marBottom w:val="0"/>
      <w:divBdr>
        <w:top w:val="none" w:sz="0" w:space="0" w:color="auto"/>
        <w:left w:val="none" w:sz="0" w:space="0" w:color="auto"/>
        <w:bottom w:val="none" w:sz="0" w:space="0" w:color="auto"/>
        <w:right w:val="none" w:sz="0" w:space="0" w:color="auto"/>
      </w:divBdr>
    </w:div>
    <w:div w:id="321275981">
      <w:bodyDiv w:val="1"/>
      <w:marLeft w:val="0"/>
      <w:marRight w:val="0"/>
      <w:marTop w:val="0"/>
      <w:marBottom w:val="0"/>
      <w:divBdr>
        <w:top w:val="none" w:sz="0" w:space="0" w:color="auto"/>
        <w:left w:val="none" w:sz="0" w:space="0" w:color="auto"/>
        <w:bottom w:val="none" w:sz="0" w:space="0" w:color="auto"/>
        <w:right w:val="none" w:sz="0" w:space="0" w:color="auto"/>
      </w:divBdr>
    </w:div>
    <w:div w:id="332488491">
      <w:bodyDiv w:val="1"/>
      <w:marLeft w:val="0"/>
      <w:marRight w:val="0"/>
      <w:marTop w:val="0"/>
      <w:marBottom w:val="0"/>
      <w:divBdr>
        <w:top w:val="none" w:sz="0" w:space="0" w:color="auto"/>
        <w:left w:val="none" w:sz="0" w:space="0" w:color="auto"/>
        <w:bottom w:val="none" w:sz="0" w:space="0" w:color="auto"/>
        <w:right w:val="none" w:sz="0" w:space="0" w:color="auto"/>
      </w:divBdr>
    </w:div>
    <w:div w:id="342171248">
      <w:bodyDiv w:val="1"/>
      <w:marLeft w:val="0"/>
      <w:marRight w:val="0"/>
      <w:marTop w:val="0"/>
      <w:marBottom w:val="0"/>
      <w:divBdr>
        <w:top w:val="none" w:sz="0" w:space="0" w:color="auto"/>
        <w:left w:val="none" w:sz="0" w:space="0" w:color="auto"/>
        <w:bottom w:val="none" w:sz="0" w:space="0" w:color="auto"/>
        <w:right w:val="none" w:sz="0" w:space="0" w:color="auto"/>
      </w:divBdr>
    </w:div>
    <w:div w:id="375663760">
      <w:bodyDiv w:val="1"/>
      <w:marLeft w:val="0"/>
      <w:marRight w:val="0"/>
      <w:marTop w:val="0"/>
      <w:marBottom w:val="0"/>
      <w:divBdr>
        <w:top w:val="none" w:sz="0" w:space="0" w:color="auto"/>
        <w:left w:val="none" w:sz="0" w:space="0" w:color="auto"/>
        <w:bottom w:val="none" w:sz="0" w:space="0" w:color="auto"/>
        <w:right w:val="none" w:sz="0" w:space="0" w:color="auto"/>
      </w:divBdr>
    </w:div>
    <w:div w:id="380713655">
      <w:bodyDiv w:val="1"/>
      <w:marLeft w:val="0"/>
      <w:marRight w:val="0"/>
      <w:marTop w:val="0"/>
      <w:marBottom w:val="0"/>
      <w:divBdr>
        <w:top w:val="none" w:sz="0" w:space="0" w:color="auto"/>
        <w:left w:val="none" w:sz="0" w:space="0" w:color="auto"/>
        <w:bottom w:val="none" w:sz="0" w:space="0" w:color="auto"/>
        <w:right w:val="none" w:sz="0" w:space="0" w:color="auto"/>
      </w:divBdr>
    </w:div>
    <w:div w:id="383679389">
      <w:bodyDiv w:val="1"/>
      <w:marLeft w:val="0"/>
      <w:marRight w:val="0"/>
      <w:marTop w:val="0"/>
      <w:marBottom w:val="0"/>
      <w:divBdr>
        <w:top w:val="none" w:sz="0" w:space="0" w:color="auto"/>
        <w:left w:val="none" w:sz="0" w:space="0" w:color="auto"/>
        <w:bottom w:val="none" w:sz="0" w:space="0" w:color="auto"/>
        <w:right w:val="none" w:sz="0" w:space="0" w:color="auto"/>
      </w:divBdr>
    </w:div>
    <w:div w:id="401804763">
      <w:bodyDiv w:val="1"/>
      <w:marLeft w:val="0"/>
      <w:marRight w:val="0"/>
      <w:marTop w:val="0"/>
      <w:marBottom w:val="0"/>
      <w:divBdr>
        <w:top w:val="none" w:sz="0" w:space="0" w:color="auto"/>
        <w:left w:val="none" w:sz="0" w:space="0" w:color="auto"/>
        <w:bottom w:val="none" w:sz="0" w:space="0" w:color="auto"/>
        <w:right w:val="none" w:sz="0" w:space="0" w:color="auto"/>
      </w:divBdr>
    </w:div>
    <w:div w:id="403379001">
      <w:bodyDiv w:val="1"/>
      <w:marLeft w:val="0"/>
      <w:marRight w:val="0"/>
      <w:marTop w:val="0"/>
      <w:marBottom w:val="0"/>
      <w:divBdr>
        <w:top w:val="none" w:sz="0" w:space="0" w:color="auto"/>
        <w:left w:val="none" w:sz="0" w:space="0" w:color="auto"/>
        <w:bottom w:val="none" w:sz="0" w:space="0" w:color="auto"/>
        <w:right w:val="none" w:sz="0" w:space="0" w:color="auto"/>
      </w:divBdr>
      <w:divsChild>
        <w:div w:id="798718191">
          <w:marLeft w:val="0"/>
          <w:marRight w:val="0"/>
          <w:marTop w:val="0"/>
          <w:marBottom w:val="0"/>
          <w:divBdr>
            <w:top w:val="none" w:sz="0" w:space="0" w:color="auto"/>
            <w:left w:val="none" w:sz="0" w:space="0" w:color="auto"/>
            <w:bottom w:val="none" w:sz="0" w:space="0" w:color="auto"/>
            <w:right w:val="none" w:sz="0" w:space="0" w:color="auto"/>
          </w:divBdr>
        </w:div>
      </w:divsChild>
    </w:div>
    <w:div w:id="410127953">
      <w:bodyDiv w:val="1"/>
      <w:marLeft w:val="0"/>
      <w:marRight w:val="0"/>
      <w:marTop w:val="0"/>
      <w:marBottom w:val="0"/>
      <w:divBdr>
        <w:top w:val="none" w:sz="0" w:space="0" w:color="auto"/>
        <w:left w:val="none" w:sz="0" w:space="0" w:color="auto"/>
        <w:bottom w:val="none" w:sz="0" w:space="0" w:color="auto"/>
        <w:right w:val="none" w:sz="0" w:space="0" w:color="auto"/>
      </w:divBdr>
    </w:div>
    <w:div w:id="449518227">
      <w:bodyDiv w:val="1"/>
      <w:marLeft w:val="0"/>
      <w:marRight w:val="0"/>
      <w:marTop w:val="0"/>
      <w:marBottom w:val="0"/>
      <w:divBdr>
        <w:top w:val="none" w:sz="0" w:space="0" w:color="auto"/>
        <w:left w:val="none" w:sz="0" w:space="0" w:color="auto"/>
        <w:bottom w:val="none" w:sz="0" w:space="0" w:color="auto"/>
        <w:right w:val="none" w:sz="0" w:space="0" w:color="auto"/>
      </w:divBdr>
    </w:div>
    <w:div w:id="476579159">
      <w:bodyDiv w:val="1"/>
      <w:marLeft w:val="0"/>
      <w:marRight w:val="0"/>
      <w:marTop w:val="0"/>
      <w:marBottom w:val="0"/>
      <w:divBdr>
        <w:top w:val="none" w:sz="0" w:space="0" w:color="auto"/>
        <w:left w:val="none" w:sz="0" w:space="0" w:color="auto"/>
        <w:bottom w:val="none" w:sz="0" w:space="0" w:color="auto"/>
        <w:right w:val="none" w:sz="0" w:space="0" w:color="auto"/>
      </w:divBdr>
    </w:div>
    <w:div w:id="501895826">
      <w:bodyDiv w:val="1"/>
      <w:marLeft w:val="0"/>
      <w:marRight w:val="0"/>
      <w:marTop w:val="0"/>
      <w:marBottom w:val="0"/>
      <w:divBdr>
        <w:top w:val="none" w:sz="0" w:space="0" w:color="auto"/>
        <w:left w:val="none" w:sz="0" w:space="0" w:color="auto"/>
        <w:bottom w:val="none" w:sz="0" w:space="0" w:color="auto"/>
        <w:right w:val="none" w:sz="0" w:space="0" w:color="auto"/>
      </w:divBdr>
    </w:div>
    <w:div w:id="523175240">
      <w:bodyDiv w:val="1"/>
      <w:marLeft w:val="0"/>
      <w:marRight w:val="0"/>
      <w:marTop w:val="0"/>
      <w:marBottom w:val="0"/>
      <w:divBdr>
        <w:top w:val="none" w:sz="0" w:space="0" w:color="auto"/>
        <w:left w:val="none" w:sz="0" w:space="0" w:color="auto"/>
        <w:bottom w:val="none" w:sz="0" w:space="0" w:color="auto"/>
        <w:right w:val="none" w:sz="0" w:space="0" w:color="auto"/>
      </w:divBdr>
    </w:div>
    <w:div w:id="529270756">
      <w:bodyDiv w:val="1"/>
      <w:marLeft w:val="0"/>
      <w:marRight w:val="0"/>
      <w:marTop w:val="0"/>
      <w:marBottom w:val="0"/>
      <w:divBdr>
        <w:top w:val="none" w:sz="0" w:space="0" w:color="auto"/>
        <w:left w:val="none" w:sz="0" w:space="0" w:color="auto"/>
        <w:bottom w:val="none" w:sz="0" w:space="0" w:color="auto"/>
        <w:right w:val="none" w:sz="0" w:space="0" w:color="auto"/>
      </w:divBdr>
    </w:div>
    <w:div w:id="540478499">
      <w:bodyDiv w:val="1"/>
      <w:marLeft w:val="0"/>
      <w:marRight w:val="0"/>
      <w:marTop w:val="0"/>
      <w:marBottom w:val="0"/>
      <w:divBdr>
        <w:top w:val="none" w:sz="0" w:space="0" w:color="auto"/>
        <w:left w:val="none" w:sz="0" w:space="0" w:color="auto"/>
        <w:bottom w:val="none" w:sz="0" w:space="0" w:color="auto"/>
        <w:right w:val="none" w:sz="0" w:space="0" w:color="auto"/>
      </w:divBdr>
    </w:div>
    <w:div w:id="562835610">
      <w:bodyDiv w:val="1"/>
      <w:marLeft w:val="0"/>
      <w:marRight w:val="0"/>
      <w:marTop w:val="0"/>
      <w:marBottom w:val="0"/>
      <w:divBdr>
        <w:top w:val="none" w:sz="0" w:space="0" w:color="auto"/>
        <w:left w:val="none" w:sz="0" w:space="0" w:color="auto"/>
        <w:bottom w:val="none" w:sz="0" w:space="0" w:color="auto"/>
        <w:right w:val="none" w:sz="0" w:space="0" w:color="auto"/>
      </w:divBdr>
    </w:div>
    <w:div w:id="587427039">
      <w:bodyDiv w:val="1"/>
      <w:marLeft w:val="0"/>
      <w:marRight w:val="0"/>
      <w:marTop w:val="0"/>
      <w:marBottom w:val="0"/>
      <w:divBdr>
        <w:top w:val="none" w:sz="0" w:space="0" w:color="auto"/>
        <w:left w:val="none" w:sz="0" w:space="0" w:color="auto"/>
        <w:bottom w:val="none" w:sz="0" w:space="0" w:color="auto"/>
        <w:right w:val="none" w:sz="0" w:space="0" w:color="auto"/>
      </w:divBdr>
    </w:div>
    <w:div w:id="601107618">
      <w:bodyDiv w:val="1"/>
      <w:marLeft w:val="0"/>
      <w:marRight w:val="0"/>
      <w:marTop w:val="0"/>
      <w:marBottom w:val="0"/>
      <w:divBdr>
        <w:top w:val="none" w:sz="0" w:space="0" w:color="auto"/>
        <w:left w:val="none" w:sz="0" w:space="0" w:color="auto"/>
        <w:bottom w:val="none" w:sz="0" w:space="0" w:color="auto"/>
        <w:right w:val="none" w:sz="0" w:space="0" w:color="auto"/>
      </w:divBdr>
    </w:div>
    <w:div w:id="601375935">
      <w:bodyDiv w:val="1"/>
      <w:marLeft w:val="0"/>
      <w:marRight w:val="0"/>
      <w:marTop w:val="0"/>
      <w:marBottom w:val="0"/>
      <w:divBdr>
        <w:top w:val="none" w:sz="0" w:space="0" w:color="auto"/>
        <w:left w:val="none" w:sz="0" w:space="0" w:color="auto"/>
        <w:bottom w:val="none" w:sz="0" w:space="0" w:color="auto"/>
        <w:right w:val="none" w:sz="0" w:space="0" w:color="auto"/>
      </w:divBdr>
    </w:div>
    <w:div w:id="626854476">
      <w:bodyDiv w:val="1"/>
      <w:marLeft w:val="0"/>
      <w:marRight w:val="0"/>
      <w:marTop w:val="0"/>
      <w:marBottom w:val="0"/>
      <w:divBdr>
        <w:top w:val="none" w:sz="0" w:space="0" w:color="auto"/>
        <w:left w:val="none" w:sz="0" w:space="0" w:color="auto"/>
        <w:bottom w:val="none" w:sz="0" w:space="0" w:color="auto"/>
        <w:right w:val="none" w:sz="0" w:space="0" w:color="auto"/>
      </w:divBdr>
    </w:div>
    <w:div w:id="642003822">
      <w:bodyDiv w:val="1"/>
      <w:marLeft w:val="0"/>
      <w:marRight w:val="0"/>
      <w:marTop w:val="0"/>
      <w:marBottom w:val="0"/>
      <w:divBdr>
        <w:top w:val="none" w:sz="0" w:space="0" w:color="auto"/>
        <w:left w:val="none" w:sz="0" w:space="0" w:color="auto"/>
        <w:bottom w:val="none" w:sz="0" w:space="0" w:color="auto"/>
        <w:right w:val="none" w:sz="0" w:space="0" w:color="auto"/>
      </w:divBdr>
    </w:div>
    <w:div w:id="722212344">
      <w:bodyDiv w:val="1"/>
      <w:marLeft w:val="0"/>
      <w:marRight w:val="0"/>
      <w:marTop w:val="0"/>
      <w:marBottom w:val="0"/>
      <w:divBdr>
        <w:top w:val="none" w:sz="0" w:space="0" w:color="auto"/>
        <w:left w:val="none" w:sz="0" w:space="0" w:color="auto"/>
        <w:bottom w:val="none" w:sz="0" w:space="0" w:color="auto"/>
        <w:right w:val="none" w:sz="0" w:space="0" w:color="auto"/>
      </w:divBdr>
      <w:divsChild>
        <w:div w:id="352655626">
          <w:marLeft w:val="0"/>
          <w:marRight w:val="0"/>
          <w:marTop w:val="240"/>
          <w:marBottom w:val="300"/>
          <w:divBdr>
            <w:top w:val="single" w:sz="6" w:space="0" w:color="CCCCCC"/>
            <w:left w:val="single" w:sz="6" w:space="0" w:color="CCCCCC"/>
            <w:bottom w:val="single" w:sz="6" w:space="0" w:color="CCCCCC"/>
            <w:right w:val="single" w:sz="6" w:space="0" w:color="CCCCCC"/>
          </w:divBdr>
          <w:divsChild>
            <w:div w:id="4460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569">
      <w:bodyDiv w:val="1"/>
      <w:marLeft w:val="0"/>
      <w:marRight w:val="0"/>
      <w:marTop w:val="0"/>
      <w:marBottom w:val="0"/>
      <w:divBdr>
        <w:top w:val="none" w:sz="0" w:space="0" w:color="auto"/>
        <w:left w:val="none" w:sz="0" w:space="0" w:color="auto"/>
        <w:bottom w:val="none" w:sz="0" w:space="0" w:color="auto"/>
        <w:right w:val="none" w:sz="0" w:space="0" w:color="auto"/>
      </w:divBdr>
    </w:div>
    <w:div w:id="798572607">
      <w:bodyDiv w:val="1"/>
      <w:marLeft w:val="0"/>
      <w:marRight w:val="0"/>
      <w:marTop w:val="0"/>
      <w:marBottom w:val="0"/>
      <w:divBdr>
        <w:top w:val="none" w:sz="0" w:space="0" w:color="auto"/>
        <w:left w:val="none" w:sz="0" w:space="0" w:color="auto"/>
        <w:bottom w:val="none" w:sz="0" w:space="0" w:color="auto"/>
        <w:right w:val="none" w:sz="0" w:space="0" w:color="auto"/>
      </w:divBdr>
    </w:div>
    <w:div w:id="823547159">
      <w:bodyDiv w:val="1"/>
      <w:marLeft w:val="0"/>
      <w:marRight w:val="0"/>
      <w:marTop w:val="0"/>
      <w:marBottom w:val="0"/>
      <w:divBdr>
        <w:top w:val="none" w:sz="0" w:space="0" w:color="auto"/>
        <w:left w:val="none" w:sz="0" w:space="0" w:color="auto"/>
        <w:bottom w:val="none" w:sz="0" w:space="0" w:color="auto"/>
        <w:right w:val="none" w:sz="0" w:space="0" w:color="auto"/>
      </w:divBdr>
    </w:div>
    <w:div w:id="824249384">
      <w:bodyDiv w:val="1"/>
      <w:marLeft w:val="0"/>
      <w:marRight w:val="0"/>
      <w:marTop w:val="0"/>
      <w:marBottom w:val="0"/>
      <w:divBdr>
        <w:top w:val="none" w:sz="0" w:space="0" w:color="auto"/>
        <w:left w:val="none" w:sz="0" w:space="0" w:color="auto"/>
        <w:bottom w:val="none" w:sz="0" w:space="0" w:color="auto"/>
        <w:right w:val="none" w:sz="0" w:space="0" w:color="auto"/>
      </w:divBdr>
    </w:div>
    <w:div w:id="862205911">
      <w:bodyDiv w:val="1"/>
      <w:marLeft w:val="0"/>
      <w:marRight w:val="0"/>
      <w:marTop w:val="0"/>
      <w:marBottom w:val="0"/>
      <w:divBdr>
        <w:top w:val="none" w:sz="0" w:space="0" w:color="auto"/>
        <w:left w:val="none" w:sz="0" w:space="0" w:color="auto"/>
        <w:bottom w:val="none" w:sz="0" w:space="0" w:color="auto"/>
        <w:right w:val="none" w:sz="0" w:space="0" w:color="auto"/>
      </w:divBdr>
    </w:div>
    <w:div w:id="870727856">
      <w:bodyDiv w:val="1"/>
      <w:marLeft w:val="0"/>
      <w:marRight w:val="0"/>
      <w:marTop w:val="0"/>
      <w:marBottom w:val="0"/>
      <w:divBdr>
        <w:top w:val="none" w:sz="0" w:space="0" w:color="auto"/>
        <w:left w:val="none" w:sz="0" w:space="0" w:color="auto"/>
        <w:bottom w:val="none" w:sz="0" w:space="0" w:color="auto"/>
        <w:right w:val="none" w:sz="0" w:space="0" w:color="auto"/>
      </w:divBdr>
    </w:div>
    <w:div w:id="902258839">
      <w:bodyDiv w:val="1"/>
      <w:marLeft w:val="0"/>
      <w:marRight w:val="0"/>
      <w:marTop w:val="0"/>
      <w:marBottom w:val="0"/>
      <w:divBdr>
        <w:top w:val="none" w:sz="0" w:space="0" w:color="auto"/>
        <w:left w:val="none" w:sz="0" w:space="0" w:color="auto"/>
        <w:bottom w:val="none" w:sz="0" w:space="0" w:color="auto"/>
        <w:right w:val="none" w:sz="0" w:space="0" w:color="auto"/>
      </w:divBdr>
    </w:div>
    <w:div w:id="977607185">
      <w:bodyDiv w:val="1"/>
      <w:marLeft w:val="0"/>
      <w:marRight w:val="0"/>
      <w:marTop w:val="0"/>
      <w:marBottom w:val="0"/>
      <w:divBdr>
        <w:top w:val="none" w:sz="0" w:space="0" w:color="auto"/>
        <w:left w:val="none" w:sz="0" w:space="0" w:color="auto"/>
        <w:bottom w:val="none" w:sz="0" w:space="0" w:color="auto"/>
        <w:right w:val="none" w:sz="0" w:space="0" w:color="auto"/>
      </w:divBdr>
    </w:div>
    <w:div w:id="998074348">
      <w:bodyDiv w:val="1"/>
      <w:marLeft w:val="0"/>
      <w:marRight w:val="0"/>
      <w:marTop w:val="0"/>
      <w:marBottom w:val="0"/>
      <w:divBdr>
        <w:top w:val="none" w:sz="0" w:space="0" w:color="auto"/>
        <w:left w:val="none" w:sz="0" w:space="0" w:color="auto"/>
        <w:bottom w:val="none" w:sz="0" w:space="0" w:color="auto"/>
        <w:right w:val="none" w:sz="0" w:space="0" w:color="auto"/>
      </w:divBdr>
    </w:div>
    <w:div w:id="1019089665">
      <w:bodyDiv w:val="1"/>
      <w:marLeft w:val="0"/>
      <w:marRight w:val="0"/>
      <w:marTop w:val="0"/>
      <w:marBottom w:val="0"/>
      <w:divBdr>
        <w:top w:val="none" w:sz="0" w:space="0" w:color="auto"/>
        <w:left w:val="none" w:sz="0" w:space="0" w:color="auto"/>
        <w:bottom w:val="none" w:sz="0" w:space="0" w:color="auto"/>
        <w:right w:val="none" w:sz="0" w:space="0" w:color="auto"/>
      </w:divBdr>
    </w:div>
    <w:div w:id="1061905807">
      <w:bodyDiv w:val="1"/>
      <w:marLeft w:val="0"/>
      <w:marRight w:val="0"/>
      <w:marTop w:val="0"/>
      <w:marBottom w:val="0"/>
      <w:divBdr>
        <w:top w:val="none" w:sz="0" w:space="0" w:color="auto"/>
        <w:left w:val="none" w:sz="0" w:space="0" w:color="auto"/>
        <w:bottom w:val="none" w:sz="0" w:space="0" w:color="auto"/>
        <w:right w:val="none" w:sz="0" w:space="0" w:color="auto"/>
      </w:divBdr>
    </w:div>
    <w:div w:id="1089079205">
      <w:bodyDiv w:val="1"/>
      <w:marLeft w:val="0"/>
      <w:marRight w:val="0"/>
      <w:marTop w:val="0"/>
      <w:marBottom w:val="0"/>
      <w:divBdr>
        <w:top w:val="none" w:sz="0" w:space="0" w:color="auto"/>
        <w:left w:val="none" w:sz="0" w:space="0" w:color="auto"/>
        <w:bottom w:val="none" w:sz="0" w:space="0" w:color="auto"/>
        <w:right w:val="none" w:sz="0" w:space="0" w:color="auto"/>
      </w:divBdr>
      <w:divsChild>
        <w:div w:id="553934419">
          <w:marLeft w:val="0"/>
          <w:marRight w:val="0"/>
          <w:marTop w:val="240"/>
          <w:marBottom w:val="300"/>
          <w:divBdr>
            <w:top w:val="single" w:sz="6" w:space="0" w:color="CCCCCC"/>
            <w:left w:val="single" w:sz="6" w:space="0" w:color="CCCCCC"/>
            <w:bottom w:val="single" w:sz="6" w:space="0" w:color="CCCCCC"/>
            <w:right w:val="single" w:sz="6" w:space="0" w:color="CCCCCC"/>
          </w:divBdr>
          <w:divsChild>
            <w:div w:id="1386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0252">
      <w:bodyDiv w:val="1"/>
      <w:marLeft w:val="0"/>
      <w:marRight w:val="0"/>
      <w:marTop w:val="0"/>
      <w:marBottom w:val="0"/>
      <w:divBdr>
        <w:top w:val="none" w:sz="0" w:space="0" w:color="auto"/>
        <w:left w:val="none" w:sz="0" w:space="0" w:color="auto"/>
        <w:bottom w:val="none" w:sz="0" w:space="0" w:color="auto"/>
        <w:right w:val="none" w:sz="0" w:space="0" w:color="auto"/>
      </w:divBdr>
    </w:div>
    <w:div w:id="1166899992">
      <w:bodyDiv w:val="1"/>
      <w:marLeft w:val="0"/>
      <w:marRight w:val="0"/>
      <w:marTop w:val="0"/>
      <w:marBottom w:val="0"/>
      <w:divBdr>
        <w:top w:val="none" w:sz="0" w:space="0" w:color="auto"/>
        <w:left w:val="none" w:sz="0" w:space="0" w:color="auto"/>
        <w:bottom w:val="none" w:sz="0" w:space="0" w:color="auto"/>
        <w:right w:val="none" w:sz="0" w:space="0" w:color="auto"/>
      </w:divBdr>
    </w:div>
    <w:div w:id="1250769898">
      <w:bodyDiv w:val="1"/>
      <w:marLeft w:val="0"/>
      <w:marRight w:val="0"/>
      <w:marTop w:val="0"/>
      <w:marBottom w:val="0"/>
      <w:divBdr>
        <w:top w:val="none" w:sz="0" w:space="0" w:color="auto"/>
        <w:left w:val="none" w:sz="0" w:space="0" w:color="auto"/>
        <w:bottom w:val="none" w:sz="0" w:space="0" w:color="auto"/>
        <w:right w:val="none" w:sz="0" w:space="0" w:color="auto"/>
      </w:divBdr>
    </w:div>
    <w:div w:id="1252810407">
      <w:bodyDiv w:val="1"/>
      <w:marLeft w:val="0"/>
      <w:marRight w:val="0"/>
      <w:marTop w:val="0"/>
      <w:marBottom w:val="0"/>
      <w:divBdr>
        <w:top w:val="none" w:sz="0" w:space="0" w:color="auto"/>
        <w:left w:val="none" w:sz="0" w:space="0" w:color="auto"/>
        <w:bottom w:val="none" w:sz="0" w:space="0" w:color="auto"/>
        <w:right w:val="none" w:sz="0" w:space="0" w:color="auto"/>
      </w:divBdr>
    </w:div>
    <w:div w:id="1263606649">
      <w:bodyDiv w:val="1"/>
      <w:marLeft w:val="0"/>
      <w:marRight w:val="0"/>
      <w:marTop w:val="0"/>
      <w:marBottom w:val="0"/>
      <w:divBdr>
        <w:top w:val="none" w:sz="0" w:space="0" w:color="auto"/>
        <w:left w:val="none" w:sz="0" w:space="0" w:color="auto"/>
        <w:bottom w:val="none" w:sz="0" w:space="0" w:color="auto"/>
        <w:right w:val="none" w:sz="0" w:space="0" w:color="auto"/>
      </w:divBdr>
    </w:div>
    <w:div w:id="1287739572">
      <w:bodyDiv w:val="1"/>
      <w:marLeft w:val="0"/>
      <w:marRight w:val="0"/>
      <w:marTop w:val="0"/>
      <w:marBottom w:val="0"/>
      <w:divBdr>
        <w:top w:val="none" w:sz="0" w:space="0" w:color="auto"/>
        <w:left w:val="none" w:sz="0" w:space="0" w:color="auto"/>
        <w:bottom w:val="none" w:sz="0" w:space="0" w:color="auto"/>
        <w:right w:val="none" w:sz="0" w:space="0" w:color="auto"/>
      </w:divBdr>
    </w:div>
    <w:div w:id="1329285134">
      <w:bodyDiv w:val="1"/>
      <w:marLeft w:val="0"/>
      <w:marRight w:val="0"/>
      <w:marTop w:val="0"/>
      <w:marBottom w:val="0"/>
      <w:divBdr>
        <w:top w:val="none" w:sz="0" w:space="0" w:color="auto"/>
        <w:left w:val="none" w:sz="0" w:space="0" w:color="auto"/>
        <w:bottom w:val="none" w:sz="0" w:space="0" w:color="auto"/>
        <w:right w:val="none" w:sz="0" w:space="0" w:color="auto"/>
      </w:divBdr>
    </w:div>
    <w:div w:id="1343782635">
      <w:bodyDiv w:val="1"/>
      <w:marLeft w:val="0"/>
      <w:marRight w:val="0"/>
      <w:marTop w:val="0"/>
      <w:marBottom w:val="0"/>
      <w:divBdr>
        <w:top w:val="none" w:sz="0" w:space="0" w:color="auto"/>
        <w:left w:val="none" w:sz="0" w:space="0" w:color="auto"/>
        <w:bottom w:val="none" w:sz="0" w:space="0" w:color="auto"/>
        <w:right w:val="none" w:sz="0" w:space="0" w:color="auto"/>
      </w:divBdr>
    </w:div>
    <w:div w:id="1356809745">
      <w:bodyDiv w:val="1"/>
      <w:marLeft w:val="0"/>
      <w:marRight w:val="0"/>
      <w:marTop w:val="0"/>
      <w:marBottom w:val="0"/>
      <w:divBdr>
        <w:top w:val="none" w:sz="0" w:space="0" w:color="auto"/>
        <w:left w:val="none" w:sz="0" w:space="0" w:color="auto"/>
        <w:bottom w:val="none" w:sz="0" w:space="0" w:color="auto"/>
        <w:right w:val="none" w:sz="0" w:space="0" w:color="auto"/>
      </w:divBdr>
    </w:div>
    <w:div w:id="1359350387">
      <w:bodyDiv w:val="1"/>
      <w:marLeft w:val="0"/>
      <w:marRight w:val="0"/>
      <w:marTop w:val="0"/>
      <w:marBottom w:val="0"/>
      <w:divBdr>
        <w:top w:val="none" w:sz="0" w:space="0" w:color="auto"/>
        <w:left w:val="none" w:sz="0" w:space="0" w:color="auto"/>
        <w:bottom w:val="none" w:sz="0" w:space="0" w:color="auto"/>
        <w:right w:val="none" w:sz="0" w:space="0" w:color="auto"/>
      </w:divBdr>
    </w:div>
    <w:div w:id="1417752556">
      <w:bodyDiv w:val="1"/>
      <w:marLeft w:val="0"/>
      <w:marRight w:val="0"/>
      <w:marTop w:val="0"/>
      <w:marBottom w:val="0"/>
      <w:divBdr>
        <w:top w:val="none" w:sz="0" w:space="0" w:color="auto"/>
        <w:left w:val="none" w:sz="0" w:space="0" w:color="auto"/>
        <w:bottom w:val="none" w:sz="0" w:space="0" w:color="auto"/>
        <w:right w:val="none" w:sz="0" w:space="0" w:color="auto"/>
      </w:divBdr>
    </w:div>
    <w:div w:id="1422796425">
      <w:bodyDiv w:val="1"/>
      <w:marLeft w:val="0"/>
      <w:marRight w:val="0"/>
      <w:marTop w:val="0"/>
      <w:marBottom w:val="0"/>
      <w:divBdr>
        <w:top w:val="none" w:sz="0" w:space="0" w:color="auto"/>
        <w:left w:val="none" w:sz="0" w:space="0" w:color="auto"/>
        <w:bottom w:val="none" w:sz="0" w:space="0" w:color="auto"/>
        <w:right w:val="none" w:sz="0" w:space="0" w:color="auto"/>
      </w:divBdr>
    </w:div>
    <w:div w:id="1429886044">
      <w:bodyDiv w:val="1"/>
      <w:marLeft w:val="0"/>
      <w:marRight w:val="0"/>
      <w:marTop w:val="0"/>
      <w:marBottom w:val="0"/>
      <w:divBdr>
        <w:top w:val="none" w:sz="0" w:space="0" w:color="auto"/>
        <w:left w:val="none" w:sz="0" w:space="0" w:color="auto"/>
        <w:bottom w:val="none" w:sz="0" w:space="0" w:color="auto"/>
        <w:right w:val="none" w:sz="0" w:space="0" w:color="auto"/>
      </w:divBdr>
    </w:div>
    <w:div w:id="1445074399">
      <w:bodyDiv w:val="1"/>
      <w:marLeft w:val="0"/>
      <w:marRight w:val="0"/>
      <w:marTop w:val="0"/>
      <w:marBottom w:val="0"/>
      <w:divBdr>
        <w:top w:val="none" w:sz="0" w:space="0" w:color="auto"/>
        <w:left w:val="none" w:sz="0" w:space="0" w:color="auto"/>
        <w:bottom w:val="none" w:sz="0" w:space="0" w:color="auto"/>
        <w:right w:val="none" w:sz="0" w:space="0" w:color="auto"/>
      </w:divBdr>
    </w:div>
    <w:div w:id="1466006950">
      <w:bodyDiv w:val="1"/>
      <w:marLeft w:val="0"/>
      <w:marRight w:val="0"/>
      <w:marTop w:val="0"/>
      <w:marBottom w:val="0"/>
      <w:divBdr>
        <w:top w:val="none" w:sz="0" w:space="0" w:color="auto"/>
        <w:left w:val="none" w:sz="0" w:space="0" w:color="auto"/>
        <w:bottom w:val="none" w:sz="0" w:space="0" w:color="auto"/>
        <w:right w:val="none" w:sz="0" w:space="0" w:color="auto"/>
      </w:divBdr>
    </w:div>
    <w:div w:id="1504971585">
      <w:bodyDiv w:val="1"/>
      <w:marLeft w:val="0"/>
      <w:marRight w:val="0"/>
      <w:marTop w:val="0"/>
      <w:marBottom w:val="0"/>
      <w:divBdr>
        <w:top w:val="none" w:sz="0" w:space="0" w:color="auto"/>
        <w:left w:val="none" w:sz="0" w:space="0" w:color="auto"/>
        <w:bottom w:val="none" w:sz="0" w:space="0" w:color="auto"/>
        <w:right w:val="none" w:sz="0" w:space="0" w:color="auto"/>
      </w:divBdr>
    </w:div>
    <w:div w:id="1506282671">
      <w:bodyDiv w:val="1"/>
      <w:marLeft w:val="0"/>
      <w:marRight w:val="0"/>
      <w:marTop w:val="0"/>
      <w:marBottom w:val="0"/>
      <w:divBdr>
        <w:top w:val="none" w:sz="0" w:space="0" w:color="auto"/>
        <w:left w:val="none" w:sz="0" w:space="0" w:color="auto"/>
        <w:bottom w:val="none" w:sz="0" w:space="0" w:color="auto"/>
        <w:right w:val="none" w:sz="0" w:space="0" w:color="auto"/>
      </w:divBdr>
    </w:div>
    <w:div w:id="1558665132">
      <w:bodyDiv w:val="1"/>
      <w:marLeft w:val="0"/>
      <w:marRight w:val="0"/>
      <w:marTop w:val="0"/>
      <w:marBottom w:val="0"/>
      <w:divBdr>
        <w:top w:val="none" w:sz="0" w:space="0" w:color="auto"/>
        <w:left w:val="none" w:sz="0" w:space="0" w:color="auto"/>
        <w:bottom w:val="none" w:sz="0" w:space="0" w:color="auto"/>
        <w:right w:val="none" w:sz="0" w:space="0" w:color="auto"/>
      </w:divBdr>
    </w:div>
    <w:div w:id="1560555784">
      <w:bodyDiv w:val="1"/>
      <w:marLeft w:val="0"/>
      <w:marRight w:val="0"/>
      <w:marTop w:val="0"/>
      <w:marBottom w:val="0"/>
      <w:divBdr>
        <w:top w:val="none" w:sz="0" w:space="0" w:color="auto"/>
        <w:left w:val="none" w:sz="0" w:space="0" w:color="auto"/>
        <w:bottom w:val="none" w:sz="0" w:space="0" w:color="auto"/>
        <w:right w:val="none" w:sz="0" w:space="0" w:color="auto"/>
      </w:divBdr>
    </w:div>
    <w:div w:id="1655835914">
      <w:bodyDiv w:val="1"/>
      <w:marLeft w:val="0"/>
      <w:marRight w:val="0"/>
      <w:marTop w:val="0"/>
      <w:marBottom w:val="0"/>
      <w:divBdr>
        <w:top w:val="none" w:sz="0" w:space="0" w:color="auto"/>
        <w:left w:val="none" w:sz="0" w:space="0" w:color="auto"/>
        <w:bottom w:val="none" w:sz="0" w:space="0" w:color="auto"/>
        <w:right w:val="none" w:sz="0" w:space="0" w:color="auto"/>
      </w:divBdr>
    </w:div>
    <w:div w:id="1711371909">
      <w:bodyDiv w:val="1"/>
      <w:marLeft w:val="0"/>
      <w:marRight w:val="0"/>
      <w:marTop w:val="0"/>
      <w:marBottom w:val="0"/>
      <w:divBdr>
        <w:top w:val="none" w:sz="0" w:space="0" w:color="auto"/>
        <w:left w:val="none" w:sz="0" w:space="0" w:color="auto"/>
        <w:bottom w:val="none" w:sz="0" w:space="0" w:color="auto"/>
        <w:right w:val="none" w:sz="0" w:space="0" w:color="auto"/>
      </w:divBdr>
    </w:div>
    <w:div w:id="1723093554">
      <w:bodyDiv w:val="1"/>
      <w:marLeft w:val="0"/>
      <w:marRight w:val="0"/>
      <w:marTop w:val="0"/>
      <w:marBottom w:val="0"/>
      <w:divBdr>
        <w:top w:val="none" w:sz="0" w:space="0" w:color="auto"/>
        <w:left w:val="none" w:sz="0" w:space="0" w:color="auto"/>
        <w:bottom w:val="none" w:sz="0" w:space="0" w:color="auto"/>
        <w:right w:val="none" w:sz="0" w:space="0" w:color="auto"/>
      </w:divBdr>
    </w:div>
    <w:div w:id="1741828376">
      <w:bodyDiv w:val="1"/>
      <w:marLeft w:val="0"/>
      <w:marRight w:val="0"/>
      <w:marTop w:val="0"/>
      <w:marBottom w:val="0"/>
      <w:divBdr>
        <w:top w:val="none" w:sz="0" w:space="0" w:color="auto"/>
        <w:left w:val="none" w:sz="0" w:space="0" w:color="auto"/>
        <w:bottom w:val="none" w:sz="0" w:space="0" w:color="auto"/>
        <w:right w:val="none" w:sz="0" w:space="0" w:color="auto"/>
      </w:divBdr>
    </w:div>
    <w:div w:id="1768766714">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 w:id="1788886756">
      <w:bodyDiv w:val="1"/>
      <w:marLeft w:val="0"/>
      <w:marRight w:val="0"/>
      <w:marTop w:val="0"/>
      <w:marBottom w:val="0"/>
      <w:divBdr>
        <w:top w:val="none" w:sz="0" w:space="0" w:color="auto"/>
        <w:left w:val="none" w:sz="0" w:space="0" w:color="auto"/>
        <w:bottom w:val="none" w:sz="0" w:space="0" w:color="auto"/>
        <w:right w:val="none" w:sz="0" w:space="0" w:color="auto"/>
      </w:divBdr>
    </w:div>
    <w:div w:id="1797986640">
      <w:bodyDiv w:val="1"/>
      <w:marLeft w:val="0"/>
      <w:marRight w:val="0"/>
      <w:marTop w:val="0"/>
      <w:marBottom w:val="0"/>
      <w:divBdr>
        <w:top w:val="none" w:sz="0" w:space="0" w:color="auto"/>
        <w:left w:val="none" w:sz="0" w:space="0" w:color="auto"/>
        <w:bottom w:val="none" w:sz="0" w:space="0" w:color="auto"/>
        <w:right w:val="none" w:sz="0" w:space="0" w:color="auto"/>
      </w:divBdr>
    </w:div>
    <w:div w:id="1847092910">
      <w:bodyDiv w:val="1"/>
      <w:marLeft w:val="0"/>
      <w:marRight w:val="0"/>
      <w:marTop w:val="0"/>
      <w:marBottom w:val="0"/>
      <w:divBdr>
        <w:top w:val="none" w:sz="0" w:space="0" w:color="auto"/>
        <w:left w:val="none" w:sz="0" w:space="0" w:color="auto"/>
        <w:bottom w:val="none" w:sz="0" w:space="0" w:color="auto"/>
        <w:right w:val="none" w:sz="0" w:space="0" w:color="auto"/>
      </w:divBdr>
    </w:div>
    <w:div w:id="1850869555">
      <w:bodyDiv w:val="1"/>
      <w:marLeft w:val="0"/>
      <w:marRight w:val="0"/>
      <w:marTop w:val="0"/>
      <w:marBottom w:val="0"/>
      <w:divBdr>
        <w:top w:val="none" w:sz="0" w:space="0" w:color="auto"/>
        <w:left w:val="none" w:sz="0" w:space="0" w:color="auto"/>
        <w:bottom w:val="none" w:sz="0" w:space="0" w:color="auto"/>
        <w:right w:val="none" w:sz="0" w:space="0" w:color="auto"/>
      </w:divBdr>
    </w:div>
    <w:div w:id="1895433686">
      <w:bodyDiv w:val="1"/>
      <w:marLeft w:val="0"/>
      <w:marRight w:val="0"/>
      <w:marTop w:val="0"/>
      <w:marBottom w:val="0"/>
      <w:divBdr>
        <w:top w:val="none" w:sz="0" w:space="0" w:color="auto"/>
        <w:left w:val="none" w:sz="0" w:space="0" w:color="auto"/>
        <w:bottom w:val="none" w:sz="0" w:space="0" w:color="auto"/>
        <w:right w:val="none" w:sz="0" w:space="0" w:color="auto"/>
      </w:divBdr>
    </w:div>
    <w:div w:id="1925869200">
      <w:bodyDiv w:val="1"/>
      <w:marLeft w:val="0"/>
      <w:marRight w:val="0"/>
      <w:marTop w:val="0"/>
      <w:marBottom w:val="0"/>
      <w:divBdr>
        <w:top w:val="none" w:sz="0" w:space="0" w:color="auto"/>
        <w:left w:val="none" w:sz="0" w:space="0" w:color="auto"/>
        <w:bottom w:val="none" w:sz="0" w:space="0" w:color="auto"/>
        <w:right w:val="none" w:sz="0" w:space="0" w:color="auto"/>
      </w:divBdr>
    </w:div>
    <w:div w:id="1927152402">
      <w:bodyDiv w:val="1"/>
      <w:marLeft w:val="0"/>
      <w:marRight w:val="0"/>
      <w:marTop w:val="0"/>
      <w:marBottom w:val="0"/>
      <w:divBdr>
        <w:top w:val="none" w:sz="0" w:space="0" w:color="auto"/>
        <w:left w:val="none" w:sz="0" w:space="0" w:color="auto"/>
        <w:bottom w:val="none" w:sz="0" w:space="0" w:color="auto"/>
        <w:right w:val="none" w:sz="0" w:space="0" w:color="auto"/>
      </w:divBdr>
    </w:div>
    <w:div w:id="1963271213">
      <w:bodyDiv w:val="1"/>
      <w:marLeft w:val="0"/>
      <w:marRight w:val="0"/>
      <w:marTop w:val="0"/>
      <w:marBottom w:val="0"/>
      <w:divBdr>
        <w:top w:val="none" w:sz="0" w:space="0" w:color="auto"/>
        <w:left w:val="none" w:sz="0" w:space="0" w:color="auto"/>
        <w:bottom w:val="none" w:sz="0" w:space="0" w:color="auto"/>
        <w:right w:val="none" w:sz="0" w:space="0" w:color="auto"/>
      </w:divBdr>
    </w:div>
    <w:div w:id="1969969706">
      <w:bodyDiv w:val="1"/>
      <w:marLeft w:val="0"/>
      <w:marRight w:val="0"/>
      <w:marTop w:val="0"/>
      <w:marBottom w:val="0"/>
      <w:divBdr>
        <w:top w:val="none" w:sz="0" w:space="0" w:color="auto"/>
        <w:left w:val="none" w:sz="0" w:space="0" w:color="auto"/>
        <w:bottom w:val="none" w:sz="0" w:space="0" w:color="auto"/>
        <w:right w:val="none" w:sz="0" w:space="0" w:color="auto"/>
      </w:divBdr>
    </w:div>
    <w:div w:id="1990669737">
      <w:bodyDiv w:val="1"/>
      <w:marLeft w:val="0"/>
      <w:marRight w:val="0"/>
      <w:marTop w:val="0"/>
      <w:marBottom w:val="0"/>
      <w:divBdr>
        <w:top w:val="none" w:sz="0" w:space="0" w:color="auto"/>
        <w:left w:val="none" w:sz="0" w:space="0" w:color="auto"/>
        <w:bottom w:val="none" w:sz="0" w:space="0" w:color="auto"/>
        <w:right w:val="none" w:sz="0" w:space="0" w:color="auto"/>
      </w:divBdr>
    </w:div>
    <w:div w:id="1993949098">
      <w:bodyDiv w:val="1"/>
      <w:marLeft w:val="0"/>
      <w:marRight w:val="0"/>
      <w:marTop w:val="0"/>
      <w:marBottom w:val="0"/>
      <w:divBdr>
        <w:top w:val="none" w:sz="0" w:space="0" w:color="auto"/>
        <w:left w:val="none" w:sz="0" w:space="0" w:color="auto"/>
        <w:bottom w:val="none" w:sz="0" w:space="0" w:color="auto"/>
        <w:right w:val="none" w:sz="0" w:space="0" w:color="auto"/>
      </w:divBdr>
    </w:div>
    <w:div w:id="1998729446">
      <w:bodyDiv w:val="1"/>
      <w:marLeft w:val="0"/>
      <w:marRight w:val="0"/>
      <w:marTop w:val="0"/>
      <w:marBottom w:val="0"/>
      <w:divBdr>
        <w:top w:val="none" w:sz="0" w:space="0" w:color="auto"/>
        <w:left w:val="none" w:sz="0" w:space="0" w:color="auto"/>
        <w:bottom w:val="none" w:sz="0" w:space="0" w:color="auto"/>
        <w:right w:val="none" w:sz="0" w:space="0" w:color="auto"/>
      </w:divBdr>
    </w:div>
    <w:div w:id="2100709147">
      <w:bodyDiv w:val="1"/>
      <w:marLeft w:val="0"/>
      <w:marRight w:val="0"/>
      <w:marTop w:val="0"/>
      <w:marBottom w:val="0"/>
      <w:divBdr>
        <w:top w:val="none" w:sz="0" w:space="0" w:color="auto"/>
        <w:left w:val="none" w:sz="0" w:space="0" w:color="auto"/>
        <w:bottom w:val="none" w:sz="0" w:space="0" w:color="auto"/>
        <w:right w:val="none" w:sz="0" w:space="0" w:color="auto"/>
      </w:divBdr>
    </w:div>
    <w:div w:id="210784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c.gov/news-issuances/news-releases/2023/nr-occ-2023-6.html" TargetMode="External"/><Relationship Id="rId18" Type="http://schemas.openxmlformats.org/officeDocument/2006/relationships/hyperlink" Target="https://nam12.safelinks.protection.outlook.com/?url=https%3A%2F%2Fcsbs.mautic.net%2Fr%2F80f856e7b64f83b0e83819281%3Fct%3DYTo1OntzOjY6InNvdXJjZSI7YToyOntpOjA7czo1OiJlbWFpbCI7aToxO2k6MTg5O31zOjU6ImVtYWlsIjtpOjE4OTtzOjQ6InN0YXQiO3M6MjI6IjYzYmQ3ZTljMzE5NjQ5MDY0OTU3NTIiO3M6NDoibGVhZCI7czo2OiIxNDY3NTAiO3M6NzoiY2hhbm5lbCI7YToxOntzOjU6ImVtYWlsIjtpOjE4OTt9fQ%253D%253D%26&amp;data=05%7C01%7C%7C00241408046d45abc9c108daf31c16ab%7C77596ed9db5b4a61802477a1ecb2c558%7C0%7C0%7C638089599227295016%7CUnknown%7CTWFpbGZsb3d8eyJWIjoiMC4wLjAwMDAiLCJQIjoiV2luMzIiLCJBTiI6Ik1haWwiLCJXVCI6Mn0%3D%7C3000%7C%7C%7C&amp;sdata=wwoklQOfgkBAVp2r6vzCmyUT367wOhP96jNGW5mvagw%3D&amp;reserved=0" TargetMode="External"/><Relationship Id="rId26" Type="http://schemas.openxmlformats.org/officeDocument/2006/relationships/hyperlink" Target="https://www.occ.gov/news-issuances/bulletins/2023/bulletin-2023-2.html" TargetMode="External"/><Relationship Id="rId3" Type="http://schemas.openxmlformats.org/officeDocument/2006/relationships/styles" Target="styles.xml"/><Relationship Id="rId21" Type="http://schemas.openxmlformats.org/officeDocument/2006/relationships/hyperlink" Target="https://www.fincen.gov/nprm-fact-she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umerfinance.gov/rules-policy/regulations/1002/4/" TargetMode="External"/><Relationship Id="rId17" Type="http://schemas.openxmlformats.org/officeDocument/2006/relationships/hyperlink" Target="https://nam12.safelinks.protection.outlook.com/?url=https%3A%2F%2Fcsbs.mautic.net%2Fr%2F338df47bae1a58a597dbf9143%3Fct%3DYTo1OntzOjY6InNvdXJjZSI7YToyOntpOjA7czo1OiJlbWFpbCI7aToxO2k6MTg5O31zOjU6ImVtYWlsIjtpOjE4OTtzOjQ6InN0YXQiO3M6MjI6IjYzYmQ3ZTljMzE5NjQ5MDY0OTU3NTIiO3M6NDoibGVhZCI7czo2OiIxNDY3NTAiO3M6NzoiY2hhbm5lbCI7YToxOntzOjU6ImVtYWlsIjtpOjE4OTt9fQ%253D%253D%26&amp;data=05%7C01%7C%7C00241408046d45abc9c108daf31c16ab%7C77596ed9db5b4a61802477a1ecb2c558%7C0%7C0%7C638089599227295016%7CUnknown%7CTWFpbGZsb3d8eyJWIjoiMC4wLjAwMDAiLCJQIjoiV2luMzIiLCJBTiI6Ik1haWwiLCJXVCI6Mn0%3D%7C3000%7C%7C%7C&amp;sdata=IO8hjf%2B%2BVUL%2F2yQZaAgefqMUsgCxYBjF4vD8Cykcv%2Fo%3D&amp;reserved=0" TargetMode="External"/><Relationship Id="rId25" Type="http://schemas.openxmlformats.org/officeDocument/2006/relationships/hyperlink" Target="https://consumer.ftc.gov/consumer-alerts/2023/01/dont-answer-another-online-quiz-question-until-you-read?utm_campaign=abtp1&amp;utm_content=b-title&amp;utm_medium=email&amp;utm_source=govdelivery" TargetMode="External"/><Relationship Id="rId33" Type="http://schemas.openxmlformats.org/officeDocument/2006/relationships/hyperlink" Target="https://www.ftc.gov/legal-library/browse/federal-register-notices/non-compete-clause-rulemaking" TargetMode="External"/><Relationship Id="rId2" Type="http://schemas.openxmlformats.org/officeDocument/2006/relationships/numbering" Target="numbering.xml"/><Relationship Id="rId16" Type="http://schemas.openxmlformats.org/officeDocument/2006/relationships/hyperlink" Target="https://www.federalreserve.gov/newsevents/speech/bowman20230110a.htm" TargetMode="External"/><Relationship Id="rId20" Type="http://schemas.openxmlformats.org/officeDocument/2006/relationships/hyperlink" Target="https://www.fincen.gov/news/news-releases/fincen-issues-notice-proposed-rulemaking-regarding-access-beneficial-ownership" TargetMode="External"/><Relationship Id="rId29" Type="http://schemas.openxmlformats.org/officeDocument/2006/relationships/hyperlink" Target="https://files.consumerfinance.gov/f/documents/cfpb_fraud-protection-tools-to-help-safeguard-servicememb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lnks.gd%2Fl%2FeyJhbGciOiJIUzI1NiJ9.eyJidWxsZXRpbl9saW5rX2lkIjoxMDMsInVyaSI6ImJwMjpjbGljayIsImJ1bGxldGluX2lkIjoiMjAyMzAxMTEuNjk1OTc4ODEiLCJ1cmwiOiJodHRwOi8vd3d3LmNvbnN1bWVyZmluYW5jZS5nb3YvbW9uZXlzbWFydCJ9.F_X75e9x-hnf6-IlGD6iLhugi8HG-nmK3i_VQy7bv4M%2Fs%2F10196239%2Fbr%2F152260902569-l&amp;data=05%7C01%7C%7C4a2d3ee7f33047c5624b08daf3e69a15%7C77596ed9db5b4a61802477a1ecb2c558%7C0%7C0%7C638090469135457723%7CUnknown%7CTWFpbGZsb3d8eyJWIjoiMC4wLjAwMDAiLCJQIjoiV2luMzIiLCJBTiI6Ik1haWwiLCJXVCI6Mn0%3D%7C3000%7C%7C%7C&amp;sdata=zhrQwt56SPh77mHOEKAbtQk35qbOMlWur2BiAKCenlA%3D&amp;reserved=0" TargetMode="External"/><Relationship Id="rId24" Type="http://schemas.openxmlformats.org/officeDocument/2006/relationships/hyperlink" Target="https://www.texasattorneygeneral.gov/human-trafficking-section/signs-trafficking/red-flags-sex-trafficking" TargetMode="External"/><Relationship Id="rId32" Type="http://schemas.openxmlformats.org/officeDocument/2006/relationships/hyperlink" Target="https://www.federalregister.gov/documents/2022/12/16/2022-27031/beneficial-ownership-information-access-and-safeguards-and-use-of-fincen-identifiers-for-entities" TargetMode="External"/><Relationship Id="rId5" Type="http://schemas.openxmlformats.org/officeDocument/2006/relationships/webSettings" Target="webSettings.xml"/><Relationship Id="rId15" Type="http://schemas.openxmlformats.org/officeDocument/2006/relationships/hyperlink" Target="https://www.consumerfinance.gov/about-us/newsroom/cfpb-proposes-rule-to-establish-public-registry-of-terms-and-conditions-in-form-contracts-that-claim-to-waive-or-limit-consumer-rights-and-protections/" TargetMode="External"/><Relationship Id="rId23" Type="http://schemas.openxmlformats.org/officeDocument/2006/relationships/hyperlink" Target="mailto:frc@fincen.gov" TargetMode="External"/><Relationship Id="rId28" Type="http://schemas.openxmlformats.org/officeDocument/2006/relationships/hyperlink" Target="https://nam12.safelinks.protection.outlook.com/?url=https%3A%2F%2Flnks.gd%2Fl%2FeyJhbGciOiJIUzI1NiJ9.eyJidWxsZXRpbl9saW5rX2lkIjoxMDAsInVyaSI6ImJwMjpjbGljayIsImJ1bGxldGluX2lkIjoiMjAyMzAxMTIuNjk2Nzg3MzEiLCJ1cmwiOiJodHRwczovL3d3dy5jb25zdW1lcmZpbmFuY2UuZ292L2RhdGEtcmVzZWFyY2gvcmVzZWFyY2gtcmVwb3J0cy9zZXJ2aWNlbWVtYmVyLXJlcG9ydHMtYWJvdXQtaWRlbnRpdHktdGhlZnQtYXJlLWluY3JlYXNpbmcvIn0.RcTVMOzi6Wmmh3UllLLMSTKXVNBJ6-nCkmfsY8PvXOc%2Fs%2F10196239%2Fbr%2F152409279363-l&amp;data=05%7C01%7C%7C80c1540e6c73453d427108daf4ba567f%7C77596ed9db5b4a61802477a1ecb2c558%7C0%7C0%7C638091378410546341%7CUnknown%7CTWFpbGZsb3d8eyJWIjoiMC4wLjAwMDAiLCJQIjoiV2luMzIiLCJBTiI6Ik1haWwiLCJXVCI6Mn0%3D%7C3000%7C%7C%7C&amp;sdata=9kDGdko23PAEqg4WkG4hW1Qb%2FeA7eYA45vpaat%2BOpPs%3D&amp;reserved=0" TargetMode="External"/><Relationship Id="rId10" Type="http://schemas.openxmlformats.org/officeDocument/2006/relationships/hyperlink" Target="https://nam12.safelinks.protection.outlook.com/?url=https%3A%2F%2Flnks.gd%2Fl%2FeyJhbGciOiJIUzI1NiJ9.eyJidWxsZXRpbl9saW5rX2lkIjoxMDIsInVyaSI6ImJwMjpjbGljayIsImJ1bGxldGluX2lkIjoiMjAyMzAxMTEuNjk1OTc4ODEiLCJ1cmwiOiJodHRwczovL2ZpbGVzLmNvbnN1bWVyZmluYW5jZS5nb3YvZi9kb2N1bWVudHMvY2ZwYl9yZWNvdmVyaW5nLWZyb20tZWxkZXItZmluYW5jaWFsLWV4cGxvaXRhdGlvbl9yZXBvcnRfMDktMjAyMi5wZGYifQ.IaisrI_kbdPvJVRP34LmBNtVZoL7-wbwcrTDacesLBw%2Fs%2F10196239%2Fbr%2F152260902569-l&amp;data=05%7C01%7C%7C4a2d3ee7f33047c5624b08daf3e69a15%7C77596ed9db5b4a61802477a1ecb2c558%7C0%7C0%7C638090469135457723%7CUnknown%7CTWFpbGZsb3d8eyJWIjoiMC4wLjAwMDAiLCJQIjoiV2luMzIiLCJBTiI6Ik1haWwiLCJXVCI6Mn0%3D%7C3000%7C%7C%7C&amp;sdata=JpafX0ytkG0zQoYItHNZUlDv8%2FYpg9Ldx1BeFRRXjSw%3D&amp;reserved=0" TargetMode="External"/><Relationship Id="rId19" Type="http://schemas.openxmlformats.org/officeDocument/2006/relationships/hyperlink" Target="https://www.csbs.org/newsroom/community-bankers-say-recession-already-here" TargetMode="External"/><Relationship Id="rId31" Type="http://schemas.openxmlformats.org/officeDocument/2006/relationships/hyperlink" Target="https://www.federalreserve.gov/newsevents/pressreleases/files/other20221104a1.pdf" TargetMode="External"/><Relationship Id="rId4" Type="http://schemas.openxmlformats.org/officeDocument/2006/relationships/settings" Target="settings.xml"/><Relationship Id="rId9" Type="http://schemas.openxmlformats.org/officeDocument/2006/relationships/hyperlink" Target="https://nam12.safelinks.protection.outlook.com/?url=https%3A%2F%2Flnks.gd%2Fl%2FeyJhbGciOiJIUzI1NiJ9.eyJidWxsZXRpbl9saW5rX2lkIjoxMDEsInVyaSI6ImJwMjpjbGljayIsImJ1bGxldGluX2lkIjoiMjAyMzAxMTEuNjk1OTc4ODEiLCJ1cmwiOiJodHRwOi8vd3d3LmNvbnN1bWVyZmluYW5jZS5nb3YvZWxkZXJuZXR3b3JrcyJ9.XDvHR7JC-ryrNrNOOEL7ajMh_sVCURNjSli2Uuyfd2o%2Fs%2F10196239%2Fbr%2F152260902569-l&amp;data=05%7C01%7C%7C4a2d3ee7f33047c5624b08daf3e69a15%7C77596ed9db5b4a61802477a1ecb2c558%7C0%7C0%7C638090469135457723%7CUnknown%7CTWFpbGZsb3d8eyJWIjoiMC4wLjAwMDAiLCJQIjoiV2luMzIiLCJBTiI6Ik1haWwiLCJXVCI6Mn0%3D%7C3000%7C%7C%7C&amp;sdata=Jpt0VRZfvZ32WsiQMoRaLb5buEDU8qjT6DAngD2mMt8%3D&amp;reserved=0" TargetMode="External"/><Relationship Id="rId14" Type="http://schemas.openxmlformats.org/officeDocument/2006/relationships/hyperlink" Target="https://www.occ.gov/news-issuances/news-releases/2023/nr-occ-2023-6a.pdf" TargetMode="External"/><Relationship Id="rId22" Type="http://schemas.openxmlformats.org/officeDocument/2006/relationships/hyperlink" Target="https://www.fincen.gov/news/news-releases/fincen-issues-alert-human-smuggling-along-southwest-border-united-states" TargetMode="External"/><Relationship Id="rId27" Type="http://schemas.openxmlformats.org/officeDocument/2006/relationships/hyperlink" Target="https://www.occ.gov/news-issuances/speeches/2022/pub-speech-2022-136.pdf" TargetMode="External"/><Relationship Id="rId30" Type="http://schemas.openxmlformats.org/officeDocument/2006/relationships/hyperlink" Target="https://www.federalreserve.gov/releases/g19/current/default.htm" TargetMode="External"/><Relationship Id="rId35" Type="http://schemas.openxmlformats.org/officeDocument/2006/relationships/theme" Target="theme/theme1.xml"/><Relationship Id="rId8" Type="http://schemas.openxmlformats.org/officeDocument/2006/relationships/hyperlink" Target="https://nam12.safelinks.protection.outlook.com/?url=https%3A%2F%2Flnks.gd%2Fl%2FeyJhbGciOiJIUzI1NiJ9.eyJidWxsZXRpbl9saW5rX2lkIjoxMDAsInVyaSI6ImJwMjpjbGljayIsImJ1bGxldGluX2lkIjoiMjAyMzAxMTEuNjk1OTc4ODEiLCJ1cmwiOiJodHRwczovL2RvY3MuZ29vZ2xlLmNvbS9mb3Jtcy9kL2UvMUZBSXBRTFNkMHQ2VTRtZjAteTlQYUwwRFBvOXVJQXNncklhN2RZWGpGSHRlcno5Z2hvTTRPNUEvdmlld2Zvcm0_dXNwPXNmX2xpbmsifQ.JgOwBnKuaN2hu4ZlfdUH8Mx_HPbyOXjpa2pCYOQhOOo%2Fs%2F10196239%2Fbr%2F152260902569-l&amp;data=05%7C01%7C%7C4a2d3ee7f33047c5624b08daf3e69a15%7C77596ed9db5b4a61802477a1ecb2c558%7C0%7C0%7C638090469135457723%7CUnknown%7CTWFpbGZsb3d8eyJWIjoiMC4wLjAwMDAiLCJQIjoiV2luMzIiLCJBTiI6Ik1haWwiLCJXVCI6Mn0%3D%7C3000%7C%7C%7C&amp;sdata=kYBw7oagpkfCSeIYnUIxX2sk8fn%2F%2FQUrK5%2FPlkOg%2Fy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53EC-1E0D-45A0-8451-AD6A225D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4735</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Greavu</dc:creator>
  <cp:keywords/>
  <dc:description/>
  <cp:lastModifiedBy>CBW Mail</cp:lastModifiedBy>
  <cp:revision>2</cp:revision>
  <cp:lastPrinted>2022-08-01T14:33:00Z</cp:lastPrinted>
  <dcterms:created xsi:type="dcterms:W3CDTF">2023-01-19T18:20:00Z</dcterms:created>
  <dcterms:modified xsi:type="dcterms:W3CDTF">2023-01-19T18:20:00Z</dcterms:modified>
</cp:coreProperties>
</file>