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3A62" w14:textId="5BD02E92" w:rsidR="001D488F" w:rsidRPr="001E0B8E" w:rsidRDefault="00AC1F42" w:rsidP="000015D0">
      <w:pPr>
        <w:jc w:val="center"/>
        <w:rPr>
          <w:b/>
          <w:bCs/>
          <w:strike/>
          <w:color w:val="29588C"/>
          <w:sz w:val="40"/>
          <w:szCs w:val="40"/>
        </w:rPr>
      </w:pPr>
      <w:r w:rsidRPr="00643516">
        <w:rPr>
          <w:b/>
          <w:bCs/>
          <w:color w:val="002060"/>
          <w:sz w:val="40"/>
          <w:szCs w:val="40"/>
        </w:rPr>
        <w:t>Re</w:t>
      </w:r>
      <w:r w:rsidR="001D488F" w:rsidRPr="00643516">
        <w:rPr>
          <w:b/>
          <w:bCs/>
          <w:color w:val="002060"/>
          <w:sz w:val="40"/>
          <w:szCs w:val="40"/>
        </w:rPr>
        <w:t xml:space="preserve">gulatory </w:t>
      </w:r>
      <w:r w:rsidR="001D488F" w:rsidRPr="0032610A">
        <w:rPr>
          <w:b/>
          <w:bCs/>
          <w:color w:val="002060"/>
          <w:sz w:val="40"/>
          <w:szCs w:val="40"/>
        </w:rPr>
        <w:t>Dispatch</w:t>
      </w:r>
    </w:p>
    <w:p w14:paraId="593C85A7" w14:textId="77777777" w:rsidR="001D2E7A" w:rsidRPr="00D038B1" w:rsidRDefault="001D2E7A" w:rsidP="000015D0">
      <w:pPr>
        <w:jc w:val="center"/>
        <w:rPr>
          <w:b/>
          <w:bCs/>
          <w:i/>
          <w:iCs/>
        </w:rPr>
      </w:pPr>
      <w:r w:rsidRPr="00D038B1">
        <w:rPr>
          <w:b/>
          <w:bCs/>
          <w:i/>
          <w:iCs/>
        </w:rPr>
        <w:t xml:space="preserve">Timely news and resources community bankers can use </w:t>
      </w:r>
    </w:p>
    <w:p w14:paraId="782C57B3" w14:textId="11A4B40F" w:rsidR="001D488F" w:rsidRDefault="001D2E7A" w:rsidP="00291837">
      <w:pPr>
        <w:jc w:val="center"/>
        <w:rPr>
          <w:b/>
          <w:bCs/>
          <w:i/>
          <w:iCs/>
        </w:rPr>
      </w:pPr>
      <w:r w:rsidRPr="00D038B1">
        <w:rPr>
          <w:b/>
          <w:bCs/>
          <w:i/>
          <w:iCs/>
        </w:rPr>
        <w:t>to better stay on top of a rapidly changing world.</w:t>
      </w:r>
    </w:p>
    <w:p w14:paraId="222A749C" w14:textId="594515C5" w:rsidR="00291837" w:rsidRPr="001E0B8E" w:rsidRDefault="00291837" w:rsidP="008D4A1D">
      <w:pPr>
        <w:spacing w:after="0" w:line="240" w:lineRule="auto"/>
        <w:rPr>
          <w:rFonts w:ascii="Calibri" w:eastAsia="Times New Roman" w:hAnsi="Calibri" w:cs="Calibri"/>
        </w:rPr>
      </w:pPr>
      <w:bookmarkStart w:id="0" w:name="_Hlk80258260"/>
      <w:bookmarkStart w:id="1" w:name="_Hlk83204901"/>
      <w:bookmarkStart w:id="2" w:name="_Hlk79564040"/>
      <w:bookmarkStart w:id="3" w:name="_Hlk81988823"/>
    </w:p>
    <w:p w14:paraId="540424E4" w14:textId="3C3D397B" w:rsidR="00494CF2" w:rsidRDefault="00494CF2" w:rsidP="00494CF2">
      <w:pPr>
        <w:rPr>
          <w:rFonts w:cstheme="minorHAnsi"/>
          <w:b/>
          <w:bCs/>
          <w:sz w:val="28"/>
          <w:szCs w:val="28"/>
        </w:rPr>
      </w:pPr>
      <w:bookmarkStart w:id="4" w:name="_Hlk83806435"/>
      <w:bookmarkStart w:id="5" w:name="_Hlk84405847"/>
      <w:bookmarkStart w:id="6" w:name="_Hlk85004969"/>
      <w:bookmarkStart w:id="7" w:name="_Hlk86221722"/>
      <w:bookmarkStart w:id="8" w:name="_Hlk87422987"/>
      <w:bookmarkStart w:id="9" w:name="_Hlk118437976"/>
      <w:bookmarkStart w:id="10" w:name="_Hlk116453118"/>
      <w:bookmarkStart w:id="11" w:name="_Hlk90457423"/>
      <w:r w:rsidRPr="00494CF2">
        <w:rPr>
          <w:rFonts w:cstheme="minorHAnsi"/>
          <w:b/>
          <w:bCs/>
          <w:sz w:val="28"/>
          <w:szCs w:val="28"/>
        </w:rPr>
        <w:t xml:space="preserve">CFPB </w:t>
      </w:r>
      <w:hyperlink r:id="rId8" w:history="1">
        <w:r w:rsidRPr="00494CF2">
          <w:rPr>
            <w:rStyle w:val="Hyperlink"/>
            <w:rFonts w:cstheme="minorHAnsi"/>
            <w:b/>
            <w:bCs/>
            <w:sz w:val="28"/>
            <w:szCs w:val="28"/>
          </w:rPr>
          <w:t>Announces</w:t>
        </w:r>
      </w:hyperlink>
      <w:r>
        <w:rPr>
          <w:rFonts w:cstheme="minorHAnsi"/>
          <w:b/>
          <w:bCs/>
          <w:sz w:val="28"/>
          <w:szCs w:val="28"/>
        </w:rPr>
        <w:t xml:space="preserve"> </w:t>
      </w:r>
      <w:r w:rsidRPr="00494CF2">
        <w:rPr>
          <w:rFonts w:cstheme="minorHAnsi"/>
          <w:b/>
          <w:bCs/>
          <w:sz w:val="28"/>
          <w:szCs w:val="28"/>
        </w:rPr>
        <w:t>Appraisal Subcommittee Hearing on Appraisal Bias</w:t>
      </w:r>
    </w:p>
    <w:p w14:paraId="43D0E534" w14:textId="3FF5CE9D" w:rsidR="00494CF2" w:rsidRPr="00494CF2" w:rsidRDefault="00494CF2" w:rsidP="00494CF2">
      <w:pPr>
        <w:rPr>
          <w:rFonts w:cstheme="minorHAnsi"/>
          <w:sz w:val="24"/>
          <w:szCs w:val="24"/>
        </w:rPr>
      </w:pPr>
      <w:r w:rsidRPr="00494CF2">
        <w:rPr>
          <w:rFonts w:cstheme="minorHAnsi"/>
          <w:sz w:val="24"/>
          <w:szCs w:val="24"/>
        </w:rPr>
        <w:t>On January 24, 2023, from 10:00 a.m. – 12:00 p.m. ET, the Consumer Financial Protection Bureau will host the Appraisal Subcommittee (ASC) for a hearing on appraisal bias. Invited witnesses representing key stakeholder groups will share their views with the ASC during the hearing.</w:t>
      </w:r>
    </w:p>
    <w:p w14:paraId="0AFC257C" w14:textId="51765613" w:rsidR="00494CF2" w:rsidRPr="00494CF2" w:rsidRDefault="00494CF2" w:rsidP="00494CF2">
      <w:pPr>
        <w:rPr>
          <w:rFonts w:cstheme="minorHAnsi"/>
          <w:sz w:val="24"/>
          <w:szCs w:val="24"/>
        </w:rPr>
      </w:pPr>
      <w:r w:rsidRPr="00494CF2">
        <w:rPr>
          <w:rFonts w:cstheme="minorHAnsi"/>
          <w:sz w:val="24"/>
          <w:szCs w:val="24"/>
        </w:rPr>
        <w:t xml:space="preserve">Bureau will host the </w:t>
      </w:r>
      <w:hyperlink r:id="rId9" w:history="1">
        <w:r w:rsidRPr="00494CF2">
          <w:rPr>
            <w:rStyle w:val="Hyperlink"/>
            <w:rFonts w:cstheme="minorHAnsi"/>
            <w:sz w:val="24"/>
            <w:szCs w:val="24"/>
          </w:rPr>
          <w:t>Appraisal Subcommittee</w:t>
        </w:r>
      </w:hyperlink>
      <w:r w:rsidRPr="00494CF2">
        <w:rPr>
          <w:rFonts w:cstheme="minorHAnsi"/>
          <w:sz w:val="24"/>
          <w:szCs w:val="24"/>
        </w:rPr>
        <w:t xml:space="preserve"> (ASC) for a hearing on appraisal bias. Invited witnesses representing key stakeholder groups will share their views with the ASC during the hearing.</w:t>
      </w:r>
    </w:p>
    <w:p w14:paraId="7E1608BA" w14:textId="77777777" w:rsidR="00494CF2" w:rsidRPr="00494CF2" w:rsidRDefault="00494CF2" w:rsidP="00494CF2">
      <w:pPr>
        <w:rPr>
          <w:rFonts w:cstheme="minorHAnsi"/>
          <w:sz w:val="24"/>
          <w:szCs w:val="24"/>
        </w:rPr>
      </w:pPr>
      <w:r w:rsidRPr="00494CF2">
        <w:rPr>
          <w:rFonts w:cstheme="minorHAnsi"/>
          <w:sz w:val="24"/>
          <w:szCs w:val="24"/>
        </w:rPr>
        <w:t>We encourage you to attend the hearing in-person at the Consumer Financial Protection Bureau Headquarters located at 1700 G Street, NW, Washington, DC 20552. For those who are unable to attend in-person, the event will also be livestreamed on the CFPB website.</w:t>
      </w:r>
    </w:p>
    <w:p w14:paraId="2E59B557" w14:textId="2265C320" w:rsidR="00494CF2" w:rsidRPr="00494CF2" w:rsidRDefault="00494CF2" w:rsidP="00494CF2">
      <w:pPr>
        <w:rPr>
          <w:rFonts w:cstheme="minorHAnsi"/>
          <w:sz w:val="24"/>
          <w:szCs w:val="24"/>
        </w:rPr>
      </w:pPr>
      <w:r w:rsidRPr="00494CF2">
        <w:rPr>
          <w:rFonts w:cstheme="minorHAnsi"/>
          <w:sz w:val="24"/>
          <w:szCs w:val="24"/>
        </w:rPr>
        <w:t xml:space="preserve">Members of the public are invited to listen to the hearing and provide written comments. Comments can be submitted to </w:t>
      </w:r>
      <w:hyperlink r:id="rId10" w:history="1">
        <w:r w:rsidRPr="00494CF2">
          <w:rPr>
            <w:rStyle w:val="Hyperlink"/>
            <w:rFonts w:cstheme="minorHAnsi"/>
            <w:sz w:val="24"/>
            <w:szCs w:val="24"/>
          </w:rPr>
          <w:t>AppraisalBiasHearing@asc.gov</w:t>
        </w:r>
      </w:hyperlink>
      <w:r w:rsidRPr="00494CF2">
        <w:rPr>
          <w:rFonts w:cstheme="minorHAnsi"/>
          <w:sz w:val="24"/>
          <w:szCs w:val="24"/>
        </w:rPr>
        <w:t xml:space="preserve"> until February 8, 2023.</w:t>
      </w:r>
    </w:p>
    <w:p w14:paraId="75E2B419" w14:textId="77777777" w:rsidR="00494CF2" w:rsidRPr="00494CF2" w:rsidRDefault="00000000" w:rsidP="00494CF2">
      <w:pPr>
        <w:rPr>
          <w:rFonts w:cstheme="minorHAnsi"/>
          <w:sz w:val="24"/>
          <w:szCs w:val="24"/>
        </w:rPr>
      </w:pPr>
      <w:hyperlink r:id="rId11" w:history="1">
        <w:r w:rsidR="00494CF2" w:rsidRPr="00494CF2">
          <w:rPr>
            <w:rStyle w:val="Hyperlink"/>
            <w:rFonts w:cstheme="minorHAnsi"/>
            <w:sz w:val="24"/>
            <w:szCs w:val="24"/>
          </w:rPr>
          <w:t>RSVP to attend in-person or view remotely</w:t>
        </w:r>
      </w:hyperlink>
    </w:p>
    <w:p w14:paraId="277E6CDA" w14:textId="77777777" w:rsidR="00494CF2" w:rsidRPr="00494CF2" w:rsidRDefault="00494CF2" w:rsidP="00494CF2">
      <w:pPr>
        <w:rPr>
          <w:rFonts w:cstheme="minorHAnsi"/>
          <w:b/>
          <w:bCs/>
          <w:i/>
          <w:iCs/>
          <w:color w:val="002060"/>
          <w:sz w:val="24"/>
          <w:szCs w:val="24"/>
        </w:rPr>
      </w:pPr>
      <w:r w:rsidRPr="00494CF2">
        <w:rPr>
          <w:rFonts w:cstheme="minorHAnsi"/>
          <w:b/>
          <w:bCs/>
          <w:i/>
          <w:iCs/>
          <w:color w:val="002060"/>
          <w:sz w:val="24"/>
          <w:szCs w:val="24"/>
        </w:rPr>
        <w:t>Comment: A recent study of appraisals compiled between 2013 and 2021 identified evidence of a persistent, widespread practice in the home appraisal industry to give higher values to homes when the occupants are white, and devalue them if the owners are people of color.</w:t>
      </w:r>
    </w:p>
    <w:p w14:paraId="3E438A5C" w14:textId="77777777" w:rsidR="002078B2" w:rsidRPr="002078B2" w:rsidRDefault="002078B2" w:rsidP="00971DC0">
      <w:pPr>
        <w:spacing w:after="0" w:line="240" w:lineRule="auto"/>
        <w:rPr>
          <w:rFonts w:cstheme="minorHAnsi"/>
          <w:color w:val="000000" w:themeColor="text1"/>
        </w:rPr>
      </w:pPr>
    </w:p>
    <w:p w14:paraId="293F838C" w14:textId="77777777" w:rsidR="00861A50" w:rsidRPr="00861A50" w:rsidRDefault="00861A50" w:rsidP="00470F65">
      <w:pPr>
        <w:spacing w:after="0" w:line="240" w:lineRule="auto"/>
        <w:rPr>
          <w:rFonts w:ascii="Calibri" w:eastAsia="Calibri" w:hAnsi="Calibri" w:cs="Calibri"/>
          <w:color w:val="000000"/>
        </w:rPr>
      </w:pPr>
      <w:bookmarkStart w:id="12" w:name="_Hlk107990454"/>
      <w:bookmarkStart w:id="13" w:name="_Hlk109197871"/>
      <w:bookmarkStart w:id="14" w:name="_Hlk117665203"/>
      <w:bookmarkStart w:id="15" w:name="_Hlk118873733"/>
      <w:bookmarkStart w:id="16" w:name="_Hlk120083518"/>
      <w:bookmarkStart w:id="17" w:name="_Hlk121294347"/>
      <w:bookmarkStart w:id="18" w:name="_Hlk120691315"/>
      <w:bookmarkStart w:id="19" w:name="_Hlk118105449"/>
      <w:bookmarkStart w:id="20" w:name="_Hlk100735248"/>
      <w:bookmarkStart w:id="21" w:name="_Hlk92872848"/>
      <w:bookmarkStart w:id="22" w:name="_Hlk81984412"/>
      <w:bookmarkEnd w:id="0"/>
      <w:bookmarkEnd w:id="1"/>
      <w:bookmarkEnd w:id="4"/>
      <w:bookmarkEnd w:id="5"/>
      <w:bookmarkEnd w:id="6"/>
      <w:bookmarkEnd w:id="7"/>
      <w:bookmarkEnd w:id="8"/>
      <w:bookmarkEnd w:id="9"/>
      <w:r w:rsidRPr="00861A50">
        <w:rPr>
          <w:rFonts w:ascii="Verdana" w:eastAsia="Calibri" w:hAnsi="Verdana" w:cs="Calibri"/>
          <w:b/>
          <w:bCs/>
          <w:color w:val="002060"/>
          <w:sz w:val="28"/>
          <w:szCs w:val="28"/>
        </w:rPr>
        <w:t>IBAT Insights (Ask IBAT Anything)</w:t>
      </w:r>
      <w:r w:rsidRPr="00861A50">
        <w:rPr>
          <w:rFonts w:ascii="Calibri" w:eastAsia="Calibri" w:hAnsi="Calibri" w:cs="Calibri"/>
          <w:color w:val="002060"/>
        </w:rPr>
        <w:t xml:space="preserve"> </w:t>
      </w:r>
      <w:bookmarkEnd w:id="12"/>
      <w:bookmarkEnd w:id="13"/>
    </w:p>
    <w:p w14:paraId="04A65A9E" w14:textId="77777777" w:rsidR="00861A50" w:rsidRPr="00861A50" w:rsidRDefault="00861A50" w:rsidP="00861A50">
      <w:pPr>
        <w:spacing w:after="0" w:line="240" w:lineRule="auto"/>
        <w:rPr>
          <w:rFonts w:ascii="Calibri" w:eastAsia="Calibri" w:hAnsi="Calibri" w:cs="Calibri"/>
          <w:color w:val="000000"/>
        </w:rPr>
      </w:pPr>
    </w:p>
    <w:bookmarkEnd w:id="10"/>
    <w:bookmarkEnd w:id="14"/>
    <w:bookmarkEnd w:id="15"/>
    <w:p w14:paraId="6C043418" w14:textId="6566737C" w:rsidR="00DD2BFD" w:rsidRPr="00DD2BFD" w:rsidRDefault="00DD2BFD" w:rsidP="00DD2BFD">
      <w:pPr>
        <w:spacing w:after="0" w:line="240" w:lineRule="auto"/>
        <w:rPr>
          <w:rFonts w:ascii="Calibri" w:eastAsia="Calibri" w:hAnsi="Calibri" w:cs="Calibri"/>
          <w:color w:val="000000"/>
        </w:rPr>
      </w:pPr>
      <w:r w:rsidRPr="00DD2BFD">
        <w:rPr>
          <w:rFonts w:ascii="Calibri" w:eastAsia="Calibri" w:hAnsi="Calibri" w:cs="Calibri"/>
          <w:color w:val="000000"/>
        </w:rPr>
        <w:t xml:space="preserve">Q. </w:t>
      </w:r>
      <w:r w:rsidR="00EF1C9A">
        <w:rPr>
          <w:rFonts w:ascii="Calibri" w:eastAsia="Calibri" w:hAnsi="Calibri" w:cs="Calibri"/>
          <w:color w:val="000000"/>
        </w:rPr>
        <w:t>If we allow a borrower to use a Power of Attorney (POA) to close a home equity loan, h</w:t>
      </w:r>
      <w:r w:rsidR="00EF1C9A" w:rsidRPr="00EF1C9A">
        <w:rPr>
          <w:rFonts w:ascii="Calibri" w:eastAsia="Calibri" w:hAnsi="Calibri" w:cs="Calibri"/>
          <w:color w:val="000000"/>
        </w:rPr>
        <w:t xml:space="preserve">ow </w:t>
      </w:r>
      <w:r w:rsidR="00EF1C9A">
        <w:rPr>
          <w:rFonts w:ascii="Calibri" w:eastAsia="Calibri" w:hAnsi="Calibri" w:cs="Calibri"/>
          <w:color w:val="000000"/>
        </w:rPr>
        <w:t>do we ‘prove-up’</w:t>
      </w:r>
      <w:r w:rsidR="00EF1C9A" w:rsidRPr="00EF1C9A">
        <w:rPr>
          <w:rFonts w:ascii="Calibri" w:eastAsia="Calibri" w:hAnsi="Calibri" w:cs="Calibri"/>
          <w:color w:val="000000"/>
        </w:rPr>
        <w:t xml:space="preserve"> that the POA was executed at the proper location (either at the lender’s office, an attorney’s office or a title company)?</w:t>
      </w:r>
    </w:p>
    <w:p w14:paraId="784F634B" w14:textId="77777777" w:rsidR="00DD2BFD" w:rsidRPr="00DD2BFD" w:rsidRDefault="00DD2BFD" w:rsidP="00DD2BFD">
      <w:pPr>
        <w:spacing w:after="0" w:line="240" w:lineRule="auto"/>
        <w:rPr>
          <w:rFonts w:ascii="Calibri" w:eastAsia="Calibri" w:hAnsi="Calibri" w:cs="Calibri"/>
          <w:color w:val="000000"/>
        </w:rPr>
      </w:pPr>
    </w:p>
    <w:p w14:paraId="47B01DB8" w14:textId="5C366683" w:rsidR="00847498" w:rsidRPr="00847498" w:rsidRDefault="00DD2BFD" w:rsidP="00955387">
      <w:pPr>
        <w:spacing w:after="0" w:line="240" w:lineRule="auto"/>
        <w:rPr>
          <w:rFonts w:ascii="Calibri" w:eastAsia="Calibri" w:hAnsi="Calibri" w:cs="Calibri"/>
          <w:color w:val="000000"/>
        </w:rPr>
      </w:pPr>
      <w:r w:rsidRPr="00DD2BFD">
        <w:rPr>
          <w:rFonts w:ascii="Calibri" w:eastAsia="Calibri" w:hAnsi="Calibri" w:cs="Calibri"/>
          <w:color w:val="000000"/>
        </w:rPr>
        <w:t>A.</w:t>
      </w:r>
      <w:bookmarkEnd w:id="16"/>
      <w:r w:rsidR="00847498" w:rsidRPr="00847498">
        <w:rPr>
          <w:rFonts w:ascii="Calibri" w:eastAsia="Calibri" w:hAnsi="Calibri" w:cs="Calibri"/>
          <w:color w:val="000000"/>
        </w:rPr>
        <w:t xml:space="preserve"> </w:t>
      </w:r>
      <w:r w:rsidR="003F30E7" w:rsidRPr="003F30E7">
        <w:rPr>
          <w:rFonts w:ascii="Calibri" w:eastAsia="Calibri" w:hAnsi="Calibri" w:cs="Calibri"/>
          <w:color w:val="000000"/>
        </w:rPr>
        <w:t xml:space="preserve">Follow </w:t>
      </w:r>
      <w:r w:rsidR="003F30E7">
        <w:rPr>
          <w:rFonts w:ascii="Calibri" w:eastAsia="Calibri" w:hAnsi="Calibri" w:cs="Calibri"/>
          <w:color w:val="000000"/>
        </w:rPr>
        <w:t>the underlined passages below</w:t>
      </w:r>
      <w:r w:rsidR="003F30E7" w:rsidRPr="003F30E7">
        <w:rPr>
          <w:rFonts w:ascii="Calibri" w:eastAsia="Calibri" w:hAnsi="Calibri" w:cs="Calibri"/>
          <w:color w:val="000000"/>
        </w:rPr>
        <w:t xml:space="preserve"> set out by the Finance Commission of Texas and Texas Credit Union Commission</w:t>
      </w:r>
      <w:r w:rsidR="003F30E7">
        <w:rPr>
          <w:rFonts w:ascii="Calibri" w:eastAsia="Calibri" w:hAnsi="Calibri" w:cs="Calibri"/>
          <w:color w:val="000000"/>
        </w:rPr>
        <w:t xml:space="preserve"> in 7 TAC §153.15.</w:t>
      </w:r>
    </w:p>
    <w:p w14:paraId="4A70F802" w14:textId="77777777" w:rsidR="00847498" w:rsidRPr="00847498" w:rsidRDefault="00847498" w:rsidP="00847498">
      <w:pPr>
        <w:spacing w:after="0" w:line="240" w:lineRule="auto"/>
        <w:rPr>
          <w:rFonts w:ascii="Calibri" w:eastAsia="Calibri" w:hAnsi="Calibri" w:cs="Calibri"/>
          <w:color w:val="000000"/>
        </w:rPr>
      </w:pPr>
    </w:p>
    <w:p w14:paraId="6AE733B3" w14:textId="77777777" w:rsidR="00847498" w:rsidRPr="00847498" w:rsidRDefault="00847498" w:rsidP="00847498">
      <w:pPr>
        <w:spacing w:after="0" w:line="240" w:lineRule="auto"/>
        <w:rPr>
          <w:rFonts w:ascii="Calibri" w:eastAsia="Calibri" w:hAnsi="Calibri" w:cs="Calibri"/>
          <w:color w:val="000000"/>
        </w:rPr>
      </w:pPr>
      <w:r w:rsidRPr="00847498">
        <w:rPr>
          <w:rFonts w:ascii="Calibri" w:eastAsia="Calibri" w:hAnsi="Calibri" w:cs="Calibri"/>
          <w:color w:val="000000"/>
        </w:rPr>
        <w:t>…snip</w:t>
      </w:r>
    </w:p>
    <w:p w14:paraId="42B7451A" w14:textId="77777777" w:rsidR="00847498" w:rsidRPr="00847498" w:rsidRDefault="00847498" w:rsidP="00847498">
      <w:pPr>
        <w:spacing w:after="0" w:line="240" w:lineRule="auto"/>
        <w:rPr>
          <w:rFonts w:ascii="Calibri" w:eastAsia="Calibri" w:hAnsi="Calibri" w:cs="Calibri"/>
          <w:color w:val="000000"/>
        </w:rPr>
      </w:pPr>
    </w:p>
    <w:bookmarkEnd w:id="17"/>
    <w:p w14:paraId="4D4CA601" w14:textId="77777777" w:rsidR="00EF1C9A" w:rsidRPr="00EF1C9A" w:rsidRDefault="00EF1C9A" w:rsidP="00EF1C9A">
      <w:pPr>
        <w:spacing w:after="0" w:line="240" w:lineRule="auto"/>
        <w:rPr>
          <w:rFonts w:ascii="Calibri" w:eastAsia="Calibri" w:hAnsi="Calibri" w:cs="Calibri"/>
          <w:i/>
          <w:iCs/>
          <w:color w:val="000000"/>
        </w:rPr>
      </w:pPr>
      <w:r w:rsidRPr="00EF1C9A">
        <w:rPr>
          <w:rFonts w:ascii="Calibri" w:eastAsia="Calibri" w:hAnsi="Calibri" w:cs="Calibri"/>
          <w:i/>
          <w:iCs/>
          <w:color w:val="000000"/>
        </w:rPr>
        <w:t>An equity loan may be closed only at an office of the lender, an attorney at law, or a title company. The lender is anyone authorized under Section 50(a)(6)(P) that advances funds directly to the owner or is identified as the payee on the note.</w:t>
      </w:r>
    </w:p>
    <w:p w14:paraId="108961E9" w14:textId="77777777" w:rsidR="00EF1C9A" w:rsidRPr="00EF1C9A" w:rsidRDefault="00EF1C9A" w:rsidP="00EF1C9A">
      <w:pPr>
        <w:spacing w:after="0" w:line="240" w:lineRule="auto"/>
        <w:rPr>
          <w:rFonts w:ascii="Calibri" w:eastAsia="Calibri" w:hAnsi="Calibri" w:cs="Calibri"/>
          <w:i/>
          <w:iCs/>
          <w:color w:val="000000"/>
        </w:rPr>
      </w:pPr>
    </w:p>
    <w:p w14:paraId="017DF08E" w14:textId="1EE1D370" w:rsidR="00EF1C9A" w:rsidRPr="00EF1C9A" w:rsidRDefault="00EF1C9A" w:rsidP="00EF1C9A">
      <w:pPr>
        <w:pStyle w:val="ListParagraph"/>
        <w:numPr>
          <w:ilvl w:val="0"/>
          <w:numId w:val="43"/>
        </w:numPr>
        <w:spacing w:after="0" w:line="240" w:lineRule="auto"/>
        <w:rPr>
          <w:rFonts w:ascii="Calibri" w:eastAsia="Calibri" w:hAnsi="Calibri" w:cs="Calibri"/>
          <w:i/>
          <w:iCs/>
          <w:color w:val="000000"/>
        </w:rPr>
      </w:pPr>
      <w:r w:rsidRPr="00EF1C9A">
        <w:rPr>
          <w:rFonts w:ascii="Calibri" w:eastAsia="Calibri" w:hAnsi="Calibri" w:cs="Calibri"/>
          <w:i/>
          <w:iCs/>
          <w:color w:val="000000"/>
        </w:rPr>
        <w:lastRenderedPageBreak/>
        <w:t>An equity loan must be closed at the permanent physical address of the office or branch office of the lender, attorney, or title company. The closing office must be a permanent physical address so that the closing occurs at an authorized physical location other than the homestead.</w:t>
      </w:r>
    </w:p>
    <w:p w14:paraId="41D6A844" w14:textId="77777777" w:rsidR="00EF1C9A" w:rsidRPr="00EF1C9A" w:rsidRDefault="00EF1C9A" w:rsidP="00EF1C9A">
      <w:pPr>
        <w:pStyle w:val="ListParagraph"/>
        <w:spacing w:after="0" w:line="240" w:lineRule="auto"/>
        <w:ind w:left="465"/>
        <w:rPr>
          <w:rFonts w:ascii="Calibri" w:eastAsia="Calibri" w:hAnsi="Calibri" w:cs="Calibri"/>
          <w:i/>
          <w:iCs/>
          <w:color w:val="000000"/>
        </w:rPr>
      </w:pPr>
    </w:p>
    <w:p w14:paraId="578220F2" w14:textId="65DFE5BB" w:rsidR="00EF1C9A" w:rsidRPr="00EF1C9A" w:rsidRDefault="00EF1C9A" w:rsidP="00EF1C9A">
      <w:pPr>
        <w:pStyle w:val="ListParagraph"/>
        <w:numPr>
          <w:ilvl w:val="0"/>
          <w:numId w:val="43"/>
        </w:numPr>
        <w:spacing w:after="0" w:line="240" w:lineRule="auto"/>
        <w:rPr>
          <w:rFonts w:ascii="Calibri" w:eastAsia="Calibri" w:hAnsi="Calibri" w:cs="Calibri"/>
          <w:i/>
          <w:iCs/>
          <w:color w:val="000000"/>
        </w:rPr>
      </w:pPr>
      <w:r w:rsidRPr="00EF1C9A">
        <w:rPr>
          <w:rFonts w:ascii="Calibri" w:eastAsia="Calibri" w:hAnsi="Calibri" w:cs="Calibri"/>
          <w:i/>
          <w:iCs/>
          <w:color w:val="000000"/>
        </w:rPr>
        <w:t xml:space="preserve">Any power of attorney allowing an attorney-in-fact to execute closing documents on behalf of the owner or the owner's spouse must be signed by the owner or the owner's spouse at an office of the lender, an attorney at law, or a title company. </w:t>
      </w:r>
      <w:r w:rsidRPr="003F30E7">
        <w:rPr>
          <w:rFonts w:ascii="Calibri" w:eastAsia="Calibri" w:hAnsi="Calibri" w:cs="Calibri"/>
          <w:i/>
          <w:iCs/>
          <w:color w:val="000000"/>
          <w:u w:val="single"/>
        </w:rPr>
        <w:t>A lender may rely on an established system of verifiable procedures to evidence compliance with this paragraph. For example, this system may include one or more of the following:</w:t>
      </w:r>
    </w:p>
    <w:p w14:paraId="2E9AE207" w14:textId="77777777" w:rsidR="00EF1C9A" w:rsidRPr="00EF1C9A" w:rsidRDefault="00EF1C9A" w:rsidP="00EF1C9A">
      <w:pPr>
        <w:pStyle w:val="ListParagraph"/>
        <w:rPr>
          <w:rFonts w:ascii="Calibri" w:eastAsia="Calibri" w:hAnsi="Calibri" w:cs="Calibri"/>
          <w:i/>
          <w:iCs/>
          <w:color w:val="000000"/>
        </w:rPr>
      </w:pPr>
    </w:p>
    <w:p w14:paraId="3636C7F2" w14:textId="1778F66C" w:rsidR="00EF1C9A" w:rsidRPr="003F30E7" w:rsidRDefault="00EF1C9A" w:rsidP="00EF1C9A">
      <w:pPr>
        <w:pStyle w:val="ListParagraph"/>
        <w:numPr>
          <w:ilvl w:val="0"/>
          <w:numId w:val="44"/>
        </w:numPr>
        <w:spacing w:after="0" w:line="240" w:lineRule="auto"/>
        <w:rPr>
          <w:rFonts w:ascii="Calibri" w:eastAsia="Calibri" w:hAnsi="Calibri" w:cs="Calibri"/>
          <w:i/>
          <w:iCs/>
          <w:color w:val="000000"/>
          <w:u w:val="single"/>
        </w:rPr>
      </w:pPr>
      <w:r w:rsidRPr="003F30E7">
        <w:rPr>
          <w:rFonts w:ascii="Calibri" w:eastAsia="Calibri" w:hAnsi="Calibri" w:cs="Calibri"/>
          <w:i/>
          <w:iCs/>
          <w:color w:val="000000"/>
          <w:u w:val="single"/>
        </w:rPr>
        <w:t>a written statement in the power of attorney acknowledging the date and place at which the power of attorney was executed;</w:t>
      </w:r>
    </w:p>
    <w:p w14:paraId="72934989" w14:textId="77777777" w:rsidR="00EF1C9A" w:rsidRPr="003F30E7" w:rsidRDefault="00EF1C9A" w:rsidP="00EF1C9A">
      <w:pPr>
        <w:pStyle w:val="ListParagraph"/>
        <w:spacing w:after="0" w:line="240" w:lineRule="auto"/>
        <w:ind w:left="555"/>
        <w:rPr>
          <w:rFonts w:ascii="Calibri" w:eastAsia="Calibri" w:hAnsi="Calibri" w:cs="Calibri"/>
          <w:i/>
          <w:iCs/>
          <w:color w:val="000000"/>
          <w:u w:val="single"/>
        </w:rPr>
      </w:pPr>
    </w:p>
    <w:p w14:paraId="6EA160A9" w14:textId="1F1B3AE8" w:rsidR="00EF1C9A" w:rsidRPr="003F30E7" w:rsidRDefault="00EF1C9A" w:rsidP="00EF1C9A">
      <w:pPr>
        <w:pStyle w:val="ListParagraph"/>
        <w:numPr>
          <w:ilvl w:val="0"/>
          <w:numId w:val="44"/>
        </w:numPr>
        <w:spacing w:after="0" w:line="240" w:lineRule="auto"/>
        <w:rPr>
          <w:rFonts w:ascii="Calibri" w:eastAsia="Calibri" w:hAnsi="Calibri" w:cs="Calibri"/>
          <w:i/>
          <w:iCs/>
          <w:color w:val="000000"/>
          <w:u w:val="single"/>
        </w:rPr>
      </w:pPr>
      <w:r w:rsidRPr="003F30E7">
        <w:rPr>
          <w:rFonts w:ascii="Calibri" w:eastAsia="Calibri" w:hAnsi="Calibri" w:cs="Calibri"/>
          <w:i/>
          <w:iCs/>
          <w:color w:val="000000"/>
          <w:u w:val="single"/>
        </w:rPr>
        <w:t>an affidavit or written certification of a person who was present when the power of attorney was executed, acknowledging the date and place at which the power of attorney was executed; or</w:t>
      </w:r>
    </w:p>
    <w:p w14:paraId="4A1C413F" w14:textId="77777777" w:rsidR="00EF1C9A" w:rsidRPr="003F30E7" w:rsidRDefault="00EF1C9A" w:rsidP="00EF1C9A">
      <w:pPr>
        <w:spacing w:after="0" w:line="240" w:lineRule="auto"/>
        <w:rPr>
          <w:rFonts w:ascii="Calibri" w:eastAsia="Calibri" w:hAnsi="Calibri" w:cs="Calibri"/>
          <w:i/>
          <w:iCs/>
          <w:color w:val="000000"/>
          <w:u w:val="single"/>
        </w:rPr>
      </w:pPr>
    </w:p>
    <w:p w14:paraId="400613C1" w14:textId="3E00CB49" w:rsidR="00EF1C9A" w:rsidRPr="003F30E7" w:rsidRDefault="00EF1C9A" w:rsidP="00EF1C9A">
      <w:pPr>
        <w:pStyle w:val="ListParagraph"/>
        <w:numPr>
          <w:ilvl w:val="0"/>
          <w:numId w:val="44"/>
        </w:numPr>
        <w:spacing w:after="0" w:line="240" w:lineRule="auto"/>
        <w:rPr>
          <w:rFonts w:ascii="Calibri" w:eastAsia="Calibri" w:hAnsi="Calibri" w:cs="Calibri"/>
          <w:i/>
          <w:iCs/>
          <w:color w:val="000000"/>
          <w:u w:val="single"/>
        </w:rPr>
      </w:pPr>
      <w:r w:rsidRPr="003F30E7">
        <w:rPr>
          <w:rFonts w:ascii="Calibri" w:eastAsia="Calibri" w:hAnsi="Calibri" w:cs="Calibri"/>
          <w:i/>
          <w:iCs/>
          <w:color w:val="000000"/>
          <w:u w:val="single"/>
        </w:rPr>
        <w:t>a certificate of acknowledgement signed by a notary public under Chapter 121, Civil Practice and Remedies Code, acknowledging the date and place at which the power of attorney was executed.</w:t>
      </w:r>
    </w:p>
    <w:p w14:paraId="4B3EA9B1" w14:textId="77777777" w:rsidR="00EF1C9A" w:rsidRPr="00EF1C9A" w:rsidRDefault="00EF1C9A" w:rsidP="00EF1C9A">
      <w:pPr>
        <w:spacing w:after="0" w:line="240" w:lineRule="auto"/>
        <w:rPr>
          <w:rFonts w:ascii="Calibri" w:eastAsia="Calibri" w:hAnsi="Calibri" w:cs="Calibri"/>
          <w:i/>
          <w:iCs/>
          <w:color w:val="000000"/>
        </w:rPr>
      </w:pPr>
    </w:p>
    <w:p w14:paraId="44309D5E" w14:textId="71596AB7" w:rsidR="00EF1C9A" w:rsidRPr="00EF1C9A" w:rsidRDefault="00EF1C9A" w:rsidP="00EF1C9A">
      <w:pPr>
        <w:pStyle w:val="ListParagraph"/>
        <w:numPr>
          <w:ilvl w:val="0"/>
          <w:numId w:val="43"/>
        </w:numPr>
        <w:spacing w:after="0" w:line="240" w:lineRule="auto"/>
        <w:rPr>
          <w:rFonts w:ascii="Calibri" w:eastAsia="Calibri" w:hAnsi="Calibri" w:cs="Calibri"/>
          <w:i/>
          <w:iCs/>
          <w:color w:val="000000"/>
        </w:rPr>
      </w:pPr>
      <w:r w:rsidRPr="00EF1C9A">
        <w:rPr>
          <w:rFonts w:ascii="Calibri" w:eastAsia="Calibri" w:hAnsi="Calibri" w:cs="Calibri"/>
          <w:i/>
          <w:iCs/>
          <w:color w:val="000000"/>
        </w:rPr>
        <w:t>The consent required under Section 50(a)(6)(A) must be signed by the owner and the owner's spouse, or an attorney-in-fact described by paragraph (2) of this subsection, at an office of the lender, an attorney at law, or a title company.</w:t>
      </w:r>
    </w:p>
    <w:p w14:paraId="16A920BB" w14:textId="77777777" w:rsidR="00EF1C9A" w:rsidRPr="00EF1C9A" w:rsidRDefault="00EF1C9A" w:rsidP="00EF1C9A">
      <w:pPr>
        <w:pStyle w:val="ListParagraph"/>
        <w:spacing w:after="0" w:line="240" w:lineRule="auto"/>
        <w:ind w:left="465"/>
        <w:rPr>
          <w:rFonts w:ascii="Calibri" w:eastAsia="Calibri" w:hAnsi="Calibri" w:cs="Calibri"/>
          <w:i/>
          <w:iCs/>
          <w:color w:val="000000"/>
        </w:rPr>
      </w:pPr>
    </w:p>
    <w:p w14:paraId="6C8FF6C8" w14:textId="3BB1CE39" w:rsidR="00EF1C9A" w:rsidRDefault="00EF1C9A" w:rsidP="00EF1C9A">
      <w:pPr>
        <w:spacing w:after="0" w:line="240" w:lineRule="auto"/>
        <w:rPr>
          <w:rFonts w:ascii="Calibri" w:eastAsia="Calibri" w:hAnsi="Calibri" w:cs="Calibri"/>
          <w:i/>
          <w:iCs/>
          <w:color w:val="000000"/>
        </w:rPr>
      </w:pPr>
      <w:r w:rsidRPr="00EF1C9A">
        <w:rPr>
          <w:rFonts w:ascii="Calibri" w:eastAsia="Calibri" w:hAnsi="Calibri" w:cs="Calibri"/>
          <w:i/>
          <w:iCs/>
          <w:color w:val="000000"/>
        </w:rPr>
        <w:t>Source Note: The provisions of this §153.15 adopted to be effective January 8, 2004, 29 TexReg 84; amended to be effective January 1, 2015, 39 TexReg 10407</w:t>
      </w:r>
    </w:p>
    <w:p w14:paraId="2F4126EB" w14:textId="297AAB49" w:rsidR="003F30E7" w:rsidRDefault="003F30E7" w:rsidP="00EF1C9A">
      <w:pPr>
        <w:spacing w:after="0" w:line="240" w:lineRule="auto"/>
        <w:rPr>
          <w:rFonts w:ascii="Calibri" w:eastAsia="Calibri" w:hAnsi="Calibri" w:cs="Calibri"/>
          <w:i/>
          <w:iCs/>
          <w:color w:val="000000"/>
        </w:rPr>
      </w:pPr>
    </w:p>
    <w:p w14:paraId="6209E430" w14:textId="0D54D2EA" w:rsidR="003F30E7" w:rsidRPr="003F30E7" w:rsidRDefault="003F30E7" w:rsidP="00EF1C9A">
      <w:pPr>
        <w:spacing w:after="0" w:line="240" w:lineRule="auto"/>
        <w:rPr>
          <w:rFonts w:ascii="Calibri" w:eastAsia="Calibri" w:hAnsi="Calibri" w:cs="Calibri"/>
          <w:color w:val="000000"/>
        </w:rPr>
      </w:pPr>
      <w:r w:rsidRPr="003F30E7">
        <w:rPr>
          <w:rFonts w:ascii="Calibri" w:eastAsia="Calibri" w:hAnsi="Calibri" w:cs="Calibri"/>
          <w:color w:val="000000"/>
        </w:rPr>
        <w:t xml:space="preserve">Source </w:t>
      </w:r>
      <w:hyperlink r:id="rId12" w:history="1">
        <w:r w:rsidRPr="003F30E7">
          <w:rPr>
            <w:rStyle w:val="Hyperlink"/>
            <w:rFonts w:ascii="Calibri" w:eastAsia="Calibri" w:hAnsi="Calibri" w:cs="Calibri"/>
          </w:rPr>
          <w:t>link</w:t>
        </w:r>
      </w:hyperlink>
      <w:r w:rsidRPr="003F30E7">
        <w:rPr>
          <w:rFonts w:ascii="Calibri" w:eastAsia="Calibri" w:hAnsi="Calibri" w:cs="Calibri"/>
          <w:color w:val="000000"/>
        </w:rPr>
        <w:t xml:space="preserve">. </w:t>
      </w:r>
    </w:p>
    <w:p w14:paraId="2C919A54" w14:textId="77777777" w:rsidR="00EF1C9A" w:rsidRDefault="00EF1C9A" w:rsidP="00EF1C9A">
      <w:pPr>
        <w:spacing w:after="0" w:line="240" w:lineRule="auto"/>
        <w:rPr>
          <w:rFonts w:ascii="Calibri" w:eastAsia="Calibri" w:hAnsi="Calibri" w:cs="Calibri"/>
          <w:color w:val="000000"/>
        </w:rPr>
      </w:pPr>
    </w:p>
    <w:bookmarkEnd w:id="2"/>
    <w:bookmarkEnd w:id="3"/>
    <w:bookmarkEnd w:id="11"/>
    <w:bookmarkEnd w:id="18"/>
    <w:bookmarkEnd w:id="19"/>
    <w:bookmarkEnd w:id="20"/>
    <w:bookmarkEnd w:id="21"/>
    <w:bookmarkEnd w:id="22"/>
    <w:p w14:paraId="227AF2CF" w14:textId="7377D2AC" w:rsidR="001D488F" w:rsidRPr="001E0B8E" w:rsidRDefault="001D488F">
      <w:pPr>
        <w:rPr>
          <w:rFonts w:ascii="Verdana" w:hAnsi="Verdana"/>
          <w:b/>
          <w:bCs/>
          <w:color w:val="29588C"/>
          <w:sz w:val="28"/>
          <w:szCs w:val="28"/>
        </w:rPr>
      </w:pPr>
      <w:r w:rsidRPr="001E0B8E">
        <w:rPr>
          <w:rFonts w:ascii="Verdana" w:hAnsi="Verdana"/>
          <w:b/>
          <w:bCs/>
          <w:color w:val="29588C"/>
          <w:sz w:val="28"/>
          <w:szCs w:val="28"/>
        </w:rPr>
        <w:t xml:space="preserve">Items of </w:t>
      </w:r>
      <w:r w:rsidR="000015D0" w:rsidRPr="001E0B8E">
        <w:rPr>
          <w:rFonts w:ascii="Verdana" w:hAnsi="Verdana"/>
          <w:b/>
          <w:bCs/>
          <w:color w:val="29588C"/>
          <w:sz w:val="28"/>
          <w:szCs w:val="28"/>
        </w:rPr>
        <w:t>Interest</w:t>
      </w:r>
    </w:p>
    <w:p w14:paraId="56DA15EE" w14:textId="14629729" w:rsidR="000015D0" w:rsidRPr="001E0B8E" w:rsidRDefault="000015D0">
      <w:pPr>
        <w:rPr>
          <w:rFonts w:ascii="Verdana" w:hAnsi="Verdana"/>
          <w:b/>
          <w:bCs/>
        </w:rPr>
      </w:pPr>
      <w:bookmarkStart w:id="23" w:name="_Hlk91505373"/>
      <w:r w:rsidRPr="001E0B8E">
        <w:rPr>
          <w:rFonts w:ascii="Verdana" w:hAnsi="Verdana"/>
          <w:b/>
          <w:bCs/>
        </w:rPr>
        <w:t>Bank Management</w:t>
      </w:r>
    </w:p>
    <w:tbl>
      <w:tblPr>
        <w:tblStyle w:val="TableGrid"/>
        <w:tblW w:w="0" w:type="auto"/>
        <w:tblLook w:val="04A0" w:firstRow="1" w:lastRow="0" w:firstColumn="1" w:lastColumn="0" w:noHBand="0" w:noVBand="1"/>
      </w:tblPr>
      <w:tblGrid>
        <w:gridCol w:w="985"/>
        <w:gridCol w:w="8365"/>
      </w:tblGrid>
      <w:tr w:rsidR="00FC7807" w:rsidRPr="001E0B8E" w14:paraId="28AF6A98" w14:textId="77777777" w:rsidTr="00211348">
        <w:tc>
          <w:tcPr>
            <w:tcW w:w="985" w:type="dxa"/>
            <w:shd w:val="clear" w:color="auto" w:fill="00B050"/>
          </w:tcPr>
          <w:p w14:paraId="1FB2DD9C" w14:textId="77777777" w:rsidR="00FC7807" w:rsidRPr="001E0B8E" w:rsidRDefault="00FC7807" w:rsidP="007A5DE9">
            <w:pPr>
              <w:tabs>
                <w:tab w:val="left" w:pos="580"/>
              </w:tabs>
            </w:pPr>
          </w:p>
        </w:tc>
        <w:tc>
          <w:tcPr>
            <w:tcW w:w="8365" w:type="dxa"/>
          </w:tcPr>
          <w:p w14:paraId="0D17B096" w14:textId="77777777" w:rsidR="00E5156C" w:rsidRPr="00E5156C" w:rsidRDefault="00FC7807" w:rsidP="00E5156C">
            <w:pPr>
              <w:pStyle w:val="NormalWeb"/>
              <w:shd w:val="clear" w:color="auto" w:fill="FFFFFF"/>
              <w:rPr>
                <w:rFonts w:asciiTheme="minorHAnsi" w:hAnsiTheme="minorHAnsi" w:cstheme="minorHAnsi"/>
                <w:i/>
                <w:iCs/>
                <w:color w:val="000000" w:themeColor="text1"/>
                <w:sz w:val="22"/>
                <w:szCs w:val="22"/>
              </w:rPr>
            </w:pPr>
            <w:r w:rsidRPr="00FC7807">
              <w:rPr>
                <w:rFonts w:asciiTheme="minorHAnsi" w:hAnsiTheme="minorHAnsi" w:cstheme="minorHAnsi"/>
                <w:b/>
                <w:bCs/>
                <w:color w:val="000000" w:themeColor="text1"/>
                <w:sz w:val="22"/>
                <w:szCs w:val="22"/>
              </w:rPr>
              <w:t>FRB</w:t>
            </w:r>
            <w:r w:rsidRPr="00FC7807">
              <w:rPr>
                <w:rFonts w:asciiTheme="minorHAnsi" w:hAnsiTheme="minorHAnsi" w:cstheme="minorHAnsi"/>
                <w:color w:val="000000" w:themeColor="text1"/>
                <w:sz w:val="22"/>
                <w:szCs w:val="22"/>
              </w:rPr>
              <w:t xml:space="preserve"> </w:t>
            </w:r>
            <w:hyperlink r:id="rId13" w:history="1">
              <w:r w:rsidRPr="00E5156C">
                <w:rPr>
                  <w:rStyle w:val="Hyperlink"/>
                  <w:rFonts w:asciiTheme="minorHAnsi" w:hAnsiTheme="minorHAnsi" w:cstheme="minorHAnsi"/>
                  <w:sz w:val="22"/>
                  <w:szCs w:val="22"/>
                </w:rPr>
                <w:t>Thoughts on Inflation in a Supply-Constrained Economy - Governor Lisa D. Cook</w:t>
              </w:r>
            </w:hyperlink>
            <w:r>
              <w:rPr>
                <w:rFonts w:asciiTheme="minorHAnsi" w:hAnsiTheme="minorHAnsi" w:cstheme="minorHAnsi"/>
                <w:color w:val="000000" w:themeColor="text1"/>
                <w:sz w:val="22"/>
                <w:szCs w:val="22"/>
              </w:rPr>
              <w:t xml:space="preserve"> (01/06/2023)</w:t>
            </w:r>
            <w:r w:rsidR="00E5156C">
              <w:rPr>
                <w:rFonts w:asciiTheme="minorHAnsi" w:hAnsiTheme="minorHAnsi" w:cstheme="minorHAnsi"/>
                <w:color w:val="000000" w:themeColor="text1"/>
                <w:sz w:val="22"/>
                <w:szCs w:val="22"/>
              </w:rPr>
              <w:t xml:space="preserve"> - </w:t>
            </w:r>
            <w:r w:rsidR="00E5156C" w:rsidRPr="00E5156C">
              <w:rPr>
                <w:rFonts w:asciiTheme="minorHAnsi" w:hAnsiTheme="minorHAnsi" w:cstheme="minorHAnsi"/>
                <w:i/>
                <w:iCs/>
                <w:color w:val="000000" w:themeColor="text1"/>
                <w:sz w:val="22"/>
                <w:szCs w:val="22"/>
              </w:rPr>
              <w:t>I am particularly pleased to be here today for multiple reasons. I think most of us feel some nostalgic pull to these meetings, though I do not think I want to revisit the frantic interview cycle ever again. These meetings allow us to meet and reconnect with colleagues, hear about new and valuable research, and have in-depth discussions on the subtler, more nuanced aspects of economics. I hope to do that today with my co-panelists on a subject that has my and the Federal Open Market Committee's full attention: inflation. I want to use my time to outline the unique set of challenges facing policymakers and academics today as well as how we can better understand inflation dynamics in this new environment, including by looking at novel data sources.1</w:t>
            </w:r>
          </w:p>
          <w:p w14:paraId="60DE16EC" w14:textId="77777777" w:rsidR="00E5156C" w:rsidRPr="00E5156C" w:rsidRDefault="00E5156C" w:rsidP="00E5156C">
            <w:pPr>
              <w:pStyle w:val="NormalWeb"/>
              <w:shd w:val="clear" w:color="auto" w:fill="FFFFFF"/>
              <w:rPr>
                <w:rFonts w:asciiTheme="minorHAnsi" w:hAnsiTheme="minorHAnsi" w:cstheme="minorHAnsi"/>
                <w:i/>
                <w:iCs/>
                <w:color w:val="000000" w:themeColor="text1"/>
                <w:sz w:val="22"/>
                <w:szCs w:val="22"/>
              </w:rPr>
            </w:pPr>
          </w:p>
          <w:p w14:paraId="432250EC" w14:textId="77777777" w:rsidR="00E5156C" w:rsidRPr="00E5156C" w:rsidRDefault="00E5156C" w:rsidP="00E5156C">
            <w:pPr>
              <w:pStyle w:val="NormalWeb"/>
              <w:shd w:val="clear" w:color="auto" w:fill="FFFFFF"/>
              <w:rPr>
                <w:rFonts w:asciiTheme="minorHAnsi" w:hAnsiTheme="minorHAnsi" w:cstheme="minorHAnsi"/>
                <w:i/>
                <w:iCs/>
                <w:color w:val="000000" w:themeColor="text1"/>
                <w:sz w:val="22"/>
                <w:szCs w:val="22"/>
              </w:rPr>
            </w:pPr>
            <w:r w:rsidRPr="00E5156C">
              <w:rPr>
                <w:rFonts w:asciiTheme="minorHAnsi" w:hAnsiTheme="minorHAnsi" w:cstheme="minorHAnsi"/>
                <w:i/>
                <w:iCs/>
                <w:color w:val="000000" w:themeColor="text1"/>
                <w:sz w:val="22"/>
                <w:szCs w:val="22"/>
              </w:rPr>
              <w:t xml:space="preserve">The effects of the pandemic and Russia's war against Ukraine have turned a spotlight on the supply side of the economy and its ability to adapt to rapid changes in demand and to navigate a seemingly never-ending sequence of adverse supply shocks. The unique nature of the supply and demand imbalances over the past couple of years has made it more difficult to forecast inflation, posing new challenges for monetary policy. One way to better </w:t>
            </w:r>
            <w:r w:rsidRPr="00E5156C">
              <w:rPr>
                <w:rFonts w:asciiTheme="minorHAnsi" w:hAnsiTheme="minorHAnsi" w:cstheme="minorHAnsi"/>
                <w:i/>
                <w:iCs/>
                <w:color w:val="000000" w:themeColor="text1"/>
                <w:sz w:val="22"/>
                <w:szCs w:val="22"/>
              </w:rPr>
              <w:lastRenderedPageBreak/>
              <w:t>manage these challenges is by continuing to monitor—and even expand—new sources of data. Additionally, we have some key issues to consider in approaching revised models of inflation behavior.</w:t>
            </w:r>
          </w:p>
          <w:p w14:paraId="16874AE0" w14:textId="77777777" w:rsidR="00E5156C" w:rsidRPr="00E5156C" w:rsidRDefault="00E5156C" w:rsidP="00E5156C">
            <w:pPr>
              <w:pStyle w:val="NormalWeb"/>
              <w:shd w:val="clear" w:color="auto" w:fill="FFFFFF"/>
              <w:rPr>
                <w:rFonts w:asciiTheme="minorHAnsi" w:hAnsiTheme="minorHAnsi" w:cstheme="minorHAnsi"/>
                <w:i/>
                <w:iCs/>
                <w:color w:val="000000" w:themeColor="text1"/>
                <w:sz w:val="22"/>
                <w:szCs w:val="22"/>
              </w:rPr>
            </w:pPr>
          </w:p>
          <w:p w14:paraId="5F501E62" w14:textId="77777777" w:rsidR="00E5156C" w:rsidRPr="00E5156C" w:rsidRDefault="00E5156C" w:rsidP="00E5156C">
            <w:pPr>
              <w:pStyle w:val="NormalWeb"/>
              <w:shd w:val="clear" w:color="auto" w:fill="FFFFFF"/>
              <w:rPr>
                <w:rFonts w:asciiTheme="minorHAnsi" w:hAnsiTheme="minorHAnsi" w:cstheme="minorHAnsi"/>
                <w:i/>
                <w:iCs/>
                <w:color w:val="000000" w:themeColor="text1"/>
                <w:sz w:val="22"/>
                <w:szCs w:val="22"/>
              </w:rPr>
            </w:pPr>
            <w:r w:rsidRPr="00E5156C">
              <w:rPr>
                <w:rFonts w:asciiTheme="minorHAnsi" w:hAnsiTheme="minorHAnsi" w:cstheme="minorHAnsi"/>
                <w:i/>
                <w:iCs/>
                <w:color w:val="000000" w:themeColor="text1"/>
                <w:sz w:val="22"/>
                <w:szCs w:val="22"/>
              </w:rPr>
              <w:t>Before I turn to broader issues with modeling inflation, let me start with the recent inflation data. Inflation remains far too high, despite some encouraging signs lately, and is therefore of great concern. As a Fed policymaker, I am committed to bringing inflation back to our 2 percent goal.</w:t>
            </w:r>
          </w:p>
          <w:p w14:paraId="1FAA797C" w14:textId="77777777" w:rsidR="00E5156C" w:rsidRPr="00E5156C" w:rsidRDefault="00E5156C" w:rsidP="00E5156C">
            <w:pPr>
              <w:pStyle w:val="NormalWeb"/>
              <w:shd w:val="clear" w:color="auto" w:fill="FFFFFF"/>
              <w:rPr>
                <w:rFonts w:asciiTheme="minorHAnsi" w:hAnsiTheme="minorHAnsi" w:cstheme="minorHAnsi"/>
                <w:i/>
                <w:iCs/>
                <w:color w:val="000000" w:themeColor="text1"/>
                <w:sz w:val="22"/>
                <w:szCs w:val="22"/>
              </w:rPr>
            </w:pPr>
          </w:p>
          <w:p w14:paraId="1C982EDA" w14:textId="77777777" w:rsidR="00FC7807" w:rsidRPr="00E5156C" w:rsidRDefault="00E5156C" w:rsidP="00E5156C">
            <w:pPr>
              <w:pStyle w:val="NormalWeb"/>
              <w:shd w:val="clear" w:color="auto" w:fill="FFFFFF"/>
              <w:rPr>
                <w:rFonts w:asciiTheme="minorHAnsi" w:hAnsiTheme="minorHAnsi" w:cstheme="minorHAnsi"/>
                <w:i/>
                <w:iCs/>
                <w:color w:val="000000" w:themeColor="text1"/>
                <w:sz w:val="22"/>
                <w:szCs w:val="22"/>
              </w:rPr>
            </w:pPr>
            <w:r w:rsidRPr="00E5156C">
              <w:rPr>
                <w:rFonts w:asciiTheme="minorHAnsi" w:hAnsiTheme="minorHAnsi" w:cstheme="minorHAnsi"/>
                <w:i/>
                <w:iCs/>
                <w:color w:val="000000" w:themeColor="text1"/>
                <w:sz w:val="22"/>
                <w:szCs w:val="22"/>
              </w:rPr>
              <w:t>The 12-month change in total personal consumption expenditures (PCE) prices through November was 5.5 percent. Core PCE prices rose 4.7 percent over the same 12-month period (figure 1). This measure omits volatile food and energy prices and tends to give a more accurate signal of total inflation's trajectory. Both figures are down a bit from the peaks reached in the first half of last year. However, monthly data are quite volatile, so I would caution against putting too much weight on the past few favorable monthly data reports.</w:t>
            </w:r>
          </w:p>
          <w:p w14:paraId="5777CB9A" w14:textId="77777777" w:rsidR="00E5156C" w:rsidRDefault="00E5156C" w:rsidP="00E5156C">
            <w:pPr>
              <w:pStyle w:val="NormalWeb"/>
              <w:shd w:val="clear" w:color="auto" w:fill="FFFFFF"/>
              <w:rPr>
                <w:rFonts w:asciiTheme="minorHAnsi" w:hAnsiTheme="minorHAnsi" w:cstheme="minorHAnsi"/>
                <w:color w:val="000000" w:themeColor="text1"/>
                <w:sz w:val="22"/>
                <w:szCs w:val="22"/>
              </w:rPr>
            </w:pPr>
          </w:p>
          <w:p w14:paraId="22C28DAC" w14:textId="77777777" w:rsidR="00E5156C" w:rsidRDefault="00E5156C" w:rsidP="00E5156C">
            <w:pPr>
              <w:pStyle w:val="NormalWeb"/>
              <w:shd w:val="clear" w:color="auto" w:fill="FFFFFF"/>
              <w:rPr>
                <w:rFonts w:asciiTheme="minorHAnsi" w:hAnsiTheme="minorHAnsi" w:cstheme="minorHAnsi"/>
                <w:b/>
                <w:bCs/>
                <w:i/>
                <w:iCs/>
                <w:color w:val="002060"/>
                <w:sz w:val="22"/>
                <w:szCs w:val="22"/>
              </w:rPr>
            </w:pPr>
            <w:r w:rsidRPr="00BE6FDB">
              <w:rPr>
                <w:rFonts w:asciiTheme="minorHAnsi" w:hAnsiTheme="minorHAnsi" w:cstheme="minorHAnsi"/>
                <w:b/>
                <w:bCs/>
                <w:i/>
                <w:iCs/>
                <w:color w:val="002060"/>
                <w:sz w:val="22"/>
                <w:szCs w:val="22"/>
              </w:rPr>
              <w:t>Comments:</w:t>
            </w:r>
            <w:r w:rsidR="004A6E03">
              <w:rPr>
                <w:rFonts w:asciiTheme="minorHAnsi" w:hAnsiTheme="minorHAnsi" w:cstheme="minorHAnsi"/>
                <w:b/>
                <w:bCs/>
                <w:i/>
                <w:iCs/>
                <w:color w:val="002060"/>
                <w:sz w:val="22"/>
                <w:szCs w:val="22"/>
              </w:rPr>
              <w:t xml:space="preserve"> </w:t>
            </w:r>
            <w:r w:rsidR="004A6E03" w:rsidRPr="004A6E03">
              <w:rPr>
                <w:rFonts w:asciiTheme="minorHAnsi" w:hAnsiTheme="minorHAnsi" w:cstheme="minorHAnsi"/>
                <w:b/>
                <w:bCs/>
                <w:i/>
                <w:iCs/>
                <w:color w:val="002060"/>
                <w:sz w:val="22"/>
                <w:szCs w:val="22"/>
              </w:rPr>
              <w:t xml:space="preserve">December’s wage data could provide some encouragement that the Fed’s efforts </w:t>
            </w:r>
            <w:r w:rsidR="004A6E03">
              <w:rPr>
                <w:rFonts w:asciiTheme="minorHAnsi" w:hAnsiTheme="minorHAnsi" w:cstheme="minorHAnsi"/>
                <w:b/>
                <w:bCs/>
                <w:i/>
                <w:iCs/>
                <w:color w:val="002060"/>
                <w:sz w:val="22"/>
                <w:szCs w:val="22"/>
              </w:rPr>
              <w:t xml:space="preserve">to curb inflation </w:t>
            </w:r>
            <w:r w:rsidR="004A6E03" w:rsidRPr="004A6E03">
              <w:rPr>
                <w:rFonts w:asciiTheme="minorHAnsi" w:hAnsiTheme="minorHAnsi" w:cstheme="minorHAnsi"/>
                <w:b/>
                <w:bCs/>
                <w:i/>
                <w:iCs/>
                <w:color w:val="002060"/>
                <w:sz w:val="22"/>
                <w:szCs w:val="22"/>
              </w:rPr>
              <w:t>are impacting demand.</w:t>
            </w:r>
            <w:r w:rsidR="004A6E03">
              <w:rPr>
                <w:rFonts w:asciiTheme="minorHAnsi" w:hAnsiTheme="minorHAnsi" w:cstheme="minorHAnsi"/>
                <w:b/>
                <w:bCs/>
                <w:i/>
                <w:iCs/>
                <w:color w:val="002060"/>
                <w:sz w:val="22"/>
                <w:szCs w:val="22"/>
              </w:rPr>
              <w:t xml:space="preserve">  </w:t>
            </w:r>
            <w:r w:rsidR="004A6E03" w:rsidRPr="004A6E03">
              <w:rPr>
                <w:rFonts w:asciiTheme="minorHAnsi" w:hAnsiTheme="minorHAnsi" w:cstheme="minorHAnsi"/>
                <w:b/>
                <w:bCs/>
                <w:i/>
                <w:iCs/>
                <w:color w:val="002060"/>
                <w:sz w:val="22"/>
                <w:szCs w:val="22"/>
              </w:rPr>
              <w:t>Fed officials at their last meeting noted that they are encouraged by the latest inflation readings but will need to see continued progress before they are convinced that inflation is coming down and they can ease up on rate hikes.</w:t>
            </w:r>
          </w:p>
          <w:p w14:paraId="2BEC70C8" w14:textId="6B57CF8F" w:rsidR="004A6E03" w:rsidRPr="00FC7807" w:rsidRDefault="004A6E03" w:rsidP="00E5156C">
            <w:pPr>
              <w:pStyle w:val="NormalWeb"/>
              <w:shd w:val="clear" w:color="auto" w:fill="FFFFFF"/>
              <w:rPr>
                <w:rFonts w:asciiTheme="minorHAnsi" w:hAnsiTheme="minorHAnsi" w:cstheme="minorHAnsi"/>
                <w:color w:val="000000" w:themeColor="text1"/>
                <w:sz w:val="22"/>
                <w:szCs w:val="22"/>
              </w:rPr>
            </w:pPr>
          </w:p>
        </w:tc>
      </w:tr>
      <w:tr w:rsidR="00FC7807" w:rsidRPr="001E0B8E" w14:paraId="0AE24CC6" w14:textId="77777777" w:rsidTr="00FC7807">
        <w:tc>
          <w:tcPr>
            <w:tcW w:w="985" w:type="dxa"/>
            <w:shd w:val="clear" w:color="auto" w:fill="auto"/>
          </w:tcPr>
          <w:p w14:paraId="358BF60D" w14:textId="77777777" w:rsidR="00FC7807" w:rsidRPr="001E0B8E" w:rsidRDefault="00FC7807" w:rsidP="007A5DE9">
            <w:pPr>
              <w:tabs>
                <w:tab w:val="left" w:pos="580"/>
              </w:tabs>
            </w:pPr>
          </w:p>
        </w:tc>
        <w:tc>
          <w:tcPr>
            <w:tcW w:w="8365" w:type="dxa"/>
          </w:tcPr>
          <w:p w14:paraId="556B27CA" w14:textId="77777777" w:rsidR="00FC7807" w:rsidRPr="00A94A9A" w:rsidRDefault="00FC7807" w:rsidP="00A94A9A">
            <w:pPr>
              <w:pStyle w:val="NormalWeb"/>
              <w:shd w:val="clear" w:color="auto" w:fill="FFFFFF"/>
              <w:rPr>
                <w:rFonts w:asciiTheme="minorHAnsi" w:hAnsiTheme="minorHAnsi" w:cstheme="minorHAnsi"/>
                <w:b/>
                <w:bCs/>
                <w:color w:val="000000" w:themeColor="text1"/>
                <w:sz w:val="22"/>
                <w:szCs w:val="22"/>
              </w:rPr>
            </w:pPr>
          </w:p>
        </w:tc>
      </w:tr>
      <w:tr w:rsidR="00A94A9A" w:rsidRPr="001E0B8E" w14:paraId="31D8313B" w14:textId="77777777" w:rsidTr="00211348">
        <w:tc>
          <w:tcPr>
            <w:tcW w:w="985" w:type="dxa"/>
            <w:shd w:val="clear" w:color="auto" w:fill="00B050"/>
          </w:tcPr>
          <w:p w14:paraId="605DF091" w14:textId="77777777" w:rsidR="00A94A9A" w:rsidRPr="001E0B8E" w:rsidRDefault="00A94A9A" w:rsidP="007A5DE9">
            <w:pPr>
              <w:tabs>
                <w:tab w:val="left" w:pos="580"/>
              </w:tabs>
            </w:pPr>
          </w:p>
        </w:tc>
        <w:tc>
          <w:tcPr>
            <w:tcW w:w="8365" w:type="dxa"/>
          </w:tcPr>
          <w:p w14:paraId="10B4704D" w14:textId="34BD004C" w:rsidR="00A94A9A" w:rsidRPr="00A94A9A" w:rsidRDefault="00A94A9A" w:rsidP="00A94A9A">
            <w:pPr>
              <w:pStyle w:val="NormalWeb"/>
              <w:shd w:val="clear" w:color="auto" w:fill="FFFFFF"/>
              <w:rPr>
                <w:rFonts w:asciiTheme="minorHAnsi" w:hAnsiTheme="minorHAnsi" w:cstheme="minorHAnsi"/>
                <w:color w:val="000000" w:themeColor="text1"/>
                <w:sz w:val="22"/>
                <w:szCs w:val="22"/>
              </w:rPr>
            </w:pPr>
            <w:r w:rsidRPr="00A94A9A">
              <w:rPr>
                <w:rFonts w:asciiTheme="minorHAnsi" w:hAnsiTheme="minorHAnsi" w:cstheme="minorHAnsi"/>
                <w:b/>
                <w:bCs/>
                <w:color w:val="000000" w:themeColor="text1"/>
                <w:sz w:val="22"/>
                <w:szCs w:val="22"/>
              </w:rPr>
              <w:t>OCC</w:t>
            </w:r>
            <w:r w:rsidRPr="00A94A9A">
              <w:rPr>
                <w:rFonts w:asciiTheme="minorHAnsi" w:hAnsiTheme="minorHAnsi" w:cstheme="minorHAnsi"/>
                <w:color w:val="000000" w:themeColor="text1"/>
                <w:sz w:val="22"/>
                <w:szCs w:val="22"/>
              </w:rPr>
              <w:t xml:space="preserve"> </w:t>
            </w:r>
            <w:hyperlink r:id="rId14" w:history="1">
              <w:r w:rsidRPr="00A94A9A">
                <w:rPr>
                  <w:rStyle w:val="Hyperlink"/>
                  <w:rFonts w:asciiTheme="minorHAnsi" w:hAnsiTheme="minorHAnsi" w:cstheme="minorHAnsi"/>
                  <w:sz w:val="22"/>
                  <w:szCs w:val="22"/>
                </w:rPr>
                <w:t>Issues Annual Report for 2022</w:t>
              </w:r>
            </w:hyperlink>
            <w:r>
              <w:rPr>
                <w:rFonts w:asciiTheme="minorHAnsi" w:hAnsiTheme="minorHAnsi" w:cstheme="minorHAnsi"/>
                <w:color w:val="000000" w:themeColor="text1"/>
                <w:sz w:val="22"/>
                <w:szCs w:val="22"/>
              </w:rPr>
              <w:t xml:space="preserve"> (01/05/202</w:t>
            </w:r>
            <w:r w:rsidR="00FC7807">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 xml:space="preserve">) - </w:t>
            </w:r>
            <w:r w:rsidRPr="00A94A9A">
              <w:rPr>
                <w:rFonts w:asciiTheme="minorHAnsi" w:hAnsiTheme="minorHAnsi" w:cstheme="minorHAnsi"/>
                <w:color w:val="000000" w:themeColor="text1"/>
                <w:sz w:val="22"/>
                <w:szCs w:val="22"/>
              </w:rPr>
              <w:t>WASHINGTON—The Office of the Comptroller of the Currency (OCC) today published its 2022 Annual Report. The OCC Annual Report provides Congress with an overview of the condition of the federal banking system, discusses the OCC's strategic priorities and initiatives, and shares the agency’s financial management and condition.</w:t>
            </w:r>
          </w:p>
          <w:p w14:paraId="754504D3" w14:textId="77777777" w:rsidR="00A94A9A" w:rsidRPr="00A94A9A" w:rsidRDefault="00A94A9A" w:rsidP="00A94A9A">
            <w:pPr>
              <w:pStyle w:val="NormalWeb"/>
              <w:shd w:val="clear" w:color="auto" w:fill="FFFFFF"/>
              <w:rPr>
                <w:rFonts w:asciiTheme="minorHAnsi" w:hAnsiTheme="minorHAnsi" w:cstheme="minorHAnsi"/>
                <w:color w:val="000000" w:themeColor="text1"/>
                <w:sz w:val="22"/>
                <w:szCs w:val="22"/>
              </w:rPr>
            </w:pPr>
          </w:p>
          <w:p w14:paraId="73D6FE19" w14:textId="77777777" w:rsidR="00A94A9A" w:rsidRPr="00A94A9A" w:rsidRDefault="00A94A9A" w:rsidP="00A94A9A">
            <w:pPr>
              <w:pStyle w:val="NormalWeb"/>
              <w:shd w:val="clear" w:color="auto" w:fill="FFFFFF"/>
              <w:rPr>
                <w:rFonts w:asciiTheme="minorHAnsi" w:hAnsiTheme="minorHAnsi" w:cstheme="minorHAnsi"/>
                <w:color w:val="000000" w:themeColor="text1"/>
                <w:sz w:val="22"/>
                <w:szCs w:val="22"/>
              </w:rPr>
            </w:pPr>
            <w:r w:rsidRPr="00A94A9A">
              <w:rPr>
                <w:rFonts w:asciiTheme="minorHAnsi" w:hAnsiTheme="minorHAnsi" w:cstheme="minorHAnsi"/>
                <w:color w:val="000000" w:themeColor="text1"/>
                <w:sz w:val="22"/>
                <w:szCs w:val="22"/>
              </w:rPr>
              <w:t>The report specifically highlights the OCC's work to foster and safeguard trust – trust between financial providers and their consumers, trust between regulators and supervised institutions, trust that banks will not exploit working or vulnerable Americans, and trust among financial regulators to work together to solve broad problems.</w:t>
            </w:r>
          </w:p>
          <w:p w14:paraId="19DEF135" w14:textId="77777777" w:rsidR="00A94A9A" w:rsidRPr="00A94A9A" w:rsidRDefault="00A94A9A" w:rsidP="00A94A9A">
            <w:pPr>
              <w:pStyle w:val="NormalWeb"/>
              <w:shd w:val="clear" w:color="auto" w:fill="FFFFFF"/>
              <w:rPr>
                <w:rFonts w:asciiTheme="minorHAnsi" w:hAnsiTheme="minorHAnsi" w:cstheme="minorHAnsi"/>
                <w:color w:val="000000" w:themeColor="text1"/>
                <w:sz w:val="22"/>
                <w:szCs w:val="22"/>
              </w:rPr>
            </w:pPr>
          </w:p>
          <w:p w14:paraId="18D835EE" w14:textId="77777777" w:rsidR="00A94A9A" w:rsidRPr="00A94A9A" w:rsidRDefault="00A94A9A" w:rsidP="00A94A9A">
            <w:pPr>
              <w:pStyle w:val="NormalWeb"/>
              <w:shd w:val="clear" w:color="auto" w:fill="FFFFFF"/>
              <w:rPr>
                <w:rFonts w:asciiTheme="minorHAnsi" w:hAnsiTheme="minorHAnsi" w:cstheme="minorHAnsi"/>
                <w:color w:val="000000" w:themeColor="text1"/>
                <w:sz w:val="22"/>
                <w:szCs w:val="22"/>
              </w:rPr>
            </w:pPr>
            <w:r w:rsidRPr="00A94A9A">
              <w:rPr>
                <w:rFonts w:asciiTheme="minorHAnsi" w:hAnsiTheme="minorHAnsi" w:cstheme="minorHAnsi"/>
                <w:color w:val="000000" w:themeColor="text1"/>
                <w:sz w:val="22"/>
                <w:szCs w:val="22"/>
              </w:rPr>
              <w:t>Related Links</w:t>
            </w:r>
          </w:p>
          <w:p w14:paraId="39999D5D" w14:textId="48F1DB4C" w:rsidR="00A94A9A" w:rsidRPr="00A94A9A" w:rsidRDefault="00000000" w:rsidP="00A94A9A">
            <w:pPr>
              <w:pStyle w:val="NormalWeb"/>
              <w:shd w:val="clear" w:color="auto" w:fill="FFFFFF"/>
              <w:rPr>
                <w:rFonts w:asciiTheme="minorHAnsi" w:hAnsiTheme="minorHAnsi" w:cstheme="minorHAnsi"/>
                <w:color w:val="000000" w:themeColor="text1"/>
                <w:sz w:val="22"/>
                <w:szCs w:val="22"/>
              </w:rPr>
            </w:pPr>
            <w:hyperlink r:id="rId15" w:history="1">
              <w:r w:rsidR="00A94A9A" w:rsidRPr="001D5482">
                <w:rPr>
                  <w:rStyle w:val="Hyperlink"/>
                  <w:rFonts w:asciiTheme="minorHAnsi" w:hAnsiTheme="minorHAnsi" w:cstheme="minorHAnsi"/>
                  <w:sz w:val="22"/>
                  <w:szCs w:val="22"/>
                </w:rPr>
                <w:t>2022 Annual Report</w:t>
              </w:r>
            </w:hyperlink>
          </w:p>
          <w:p w14:paraId="358BBABF" w14:textId="77777777" w:rsidR="00A94A9A" w:rsidRDefault="00A94A9A" w:rsidP="00A94A9A">
            <w:pPr>
              <w:pStyle w:val="NormalWeb"/>
              <w:shd w:val="clear" w:color="auto" w:fill="FFFFFF"/>
              <w:rPr>
                <w:rFonts w:asciiTheme="minorHAnsi" w:hAnsiTheme="minorHAnsi" w:cstheme="minorHAnsi"/>
                <w:color w:val="000000" w:themeColor="text1"/>
                <w:sz w:val="22"/>
                <w:szCs w:val="22"/>
              </w:rPr>
            </w:pPr>
          </w:p>
          <w:p w14:paraId="00E2CD2A" w14:textId="77777777" w:rsidR="00A94A9A" w:rsidRDefault="00A94A9A" w:rsidP="00A94A9A">
            <w:pPr>
              <w:pStyle w:val="NormalWeb"/>
              <w:shd w:val="clear" w:color="auto" w:fill="FFFFFF"/>
              <w:rPr>
                <w:rFonts w:asciiTheme="minorHAnsi" w:hAnsiTheme="minorHAnsi" w:cstheme="minorHAnsi"/>
                <w:b/>
                <w:bCs/>
                <w:i/>
                <w:iCs/>
                <w:color w:val="002060"/>
                <w:sz w:val="22"/>
                <w:szCs w:val="22"/>
              </w:rPr>
            </w:pPr>
            <w:r w:rsidRPr="00BE6FDB">
              <w:rPr>
                <w:rFonts w:asciiTheme="minorHAnsi" w:hAnsiTheme="minorHAnsi" w:cstheme="minorHAnsi"/>
                <w:b/>
                <w:bCs/>
                <w:i/>
                <w:iCs/>
                <w:color w:val="002060"/>
                <w:sz w:val="22"/>
                <w:szCs w:val="22"/>
              </w:rPr>
              <w:t>Comments:</w:t>
            </w:r>
            <w:r w:rsidR="004A6E03">
              <w:rPr>
                <w:rFonts w:asciiTheme="minorHAnsi" w:hAnsiTheme="minorHAnsi" w:cstheme="minorHAnsi"/>
                <w:b/>
                <w:bCs/>
                <w:i/>
                <w:iCs/>
                <w:color w:val="002060"/>
                <w:sz w:val="22"/>
                <w:szCs w:val="22"/>
              </w:rPr>
              <w:t xml:space="preserve"> The report touches on crypto-assets, artificial intelligence, disparities in property appraisals and climate change. </w:t>
            </w:r>
          </w:p>
          <w:p w14:paraId="0EE2E782" w14:textId="68CC4E40" w:rsidR="004A6E03" w:rsidRPr="00A94A9A" w:rsidRDefault="004A6E03" w:rsidP="00A94A9A">
            <w:pPr>
              <w:pStyle w:val="NormalWeb"/>
              <w:shd w:val="clear" w:color="auto" w:fill="FFFFFF"/>
              <w:rPr>
                <w:rFonts w:asciiTheme="minorHAnsi" w:hAnsiTheme="minorHAnsi" w:cstheme="minorHAnsi"/>
                <w:color w:val="000000" w:themeColor="text1"/>
                <w:sz w:val="22"/>
                <w:szCs w:val="22"/>
              </w:rPr>
            </w:pPr>
          </w:p>
        </w:tc>
      </w:tr>
      <w:tr w:rsidR="00A94A9A" w:rsidRPr="001E0B8E" w14:paraId="7FD3B9BA" w14:textId="77777777" w:rsidTr="00A94A9A">
        <w:tc>
          <w:tcPr>
            <w:tcW w:w="985" w:type="dxa"/>
            <w:shd w:val="clear" w:color="auto" w:fill="auto"/>
          </w:tcPr>
          <w:p w14:paraId="50893189" w14:textId="77777777" w:rsidR="00A94A9A" w:rsidRPr="001E0B8E" w:rsidRDefault="00A94A9A" w:rsidP="007A5DE9">
            <w:pPr>
              <w:tabs>
                <w:tab w:val="left" w:pos="580"/>
              </w:tabs>
            </w:pPr>
          </w:p>
        </w:tc>
        <w:tc>
          <w:tcPr>
            <w:tcW w:w="8365" w:type="dxa"/>
          </w:tcPr>
          <w:p w14:paraId="3A3E3713" w14:textId="77777777" w:rsidR="00A94A9A" w:rsidRPr="00BE6FDB" w:rsidRDefault="00A94A9A" w:rsidP="00BE6FDB">
            <w:pPr>
              <w:pStyle w:val="NormalWeb"/>
              <w:shd w:val="clear" w:color="auto" w:fill="FFFFFF"/>
              <w:rPr>
                <w:rFonts w:asciiTheme="minorHAnsi" w:hAnsiTheme="minorHAnsi" w:cstheme="minorHAnsi"/>
                <w:b/>
                <w:bCs/>
                <w:color w:val="000000" w:themeColor="text1"/>
                <w:sz w:val="22"/>
                <w:szCs w:val="22"/>
              </w:rPr>
            </w:pPr>
          </w:p>
        </w:tc>
      </w:tr>
      <w:tr w:rsidR="00732248" w:rsidRPr="001E0B8E" w14:paraId="6A836EF5" w14:textId="77777777" w:rsidTr="00494CF2">
        <w:tc>
          <w:tcPr>
            <w:tcW w:w="985" w:type="dxa"/>
            <w:shd w:val="clear" w:color="auto" w:fill="FFFF00"/>
          </w:tcPr>
          <w:p w14:paraId="380AC23E" w14:textId="77777777" w:rsidR="00732248" w:rsidRPr="001E0B8E" w:rsidRDefault="00732248" w:rsidP="007A5DE9">
            <w:pPr>
              <w:tabs>
                <w:tab w:val="left" w:pos="580"/>
              </w:tabs>
            </w:pPr>
          </w:p>
        </w:tc>
        <w:tc>
          <w:tcPr>
            <w:tcW w:w="8365" w:type="dxa"/>
          </w:tcPr>
          <w:p w14:paraId="67D12DED" w14:textId="7C3723C4" w:rsidR="00BE6FDB" w:rsidRPr="00BE6FDB" w:rsidRDefault="00BE6FDB" w:rsidP="00BE6FDB">
            <w:pPr>
              <w:pStyle w:val="NormalWeb"/>
              <w:shd w:val="clear" w:color="auto" w:fill="FFFFFF"/>
              <w:rPr>
                <w:rFonts w:asciiTheme="minorHAnsi" w:hAnsiTheme="minorHAnsi" w:cstheme="minorHAnsi"/>
                <w:color w:val="000000" w:themeColor="text1"/>
                <w:sz w:val="22"/>
                <w:szCs w:val="22"/>
              </w:rPr>
            </w:pPr>
            <w:r w:rsidRPr="00BE6FDB">
              <w:rPr>
                <w:rFonts w:asciiTheme="minorHAnsi" w:hAnsiTheme="minorHAnsi" w:cstheme="minorHAnsi"/>
                <w:b/>
                <w:bCs/>
                <w:color w:val="000000" w:themeColor="text1"/>
                <w:sz w:val="22"/>
                <w:szCs w:val="22"/>
              </w:rPr>
              <w:t>Joint</w:t>
            </w:r>
            <w:r>
              <w:rPr>
                <w:rFonts w:asciiTheme="minorHAnsi" w:hAnsiTheme="minorHAnsi" w:cstheme="minorHAnsi"/>
                <w:color w:val="000000" w:themeColor="text1"/>
                <w:sz w:val="22"/>
                <w:szCs w:val="22"/>
              </w:rPr>
              <w:t xml:space="preserve"> </w:t>
            </w:r>
            <w:hyperlink r:id="rId16" w:history="1">
              <w:r w:rsidRPr="002251A9">
                <w:rPr>
                  <w:rStyle w:val="Hyperlink"/>
                  <w:rFonts w:asciiTheme="minorHAnsi" w:hAnsiTheme="minorHAnsi" w:cstheme="minorHAnsi"/>
                  <w:sz w:val="22"/>
                  <w:szCs w:val="22"/>
                </w:rPr>
                <w:t>Statement on Crypto-Asset Risks to Banking Organizations</w:t>
              </w:r>
            </w:hyperlink>
            <w:r>
              <w:rPr>
                <w:rFonts w:asciiTheme="minorHAnsi" w:hAnsiTheme="minorHAnsi" w:cstheme="minorHAnsi"/>
                <w:color w:val="000000" w:themeColor="text1"/>
                <w:sz w:val="22"/>
                <w:szCs w:val="22"/>
              </w:rPr>
              <w:t xml:space="preserve"> (01/05/202</w:t>
            </w:r>
            <w:r w:rsidR="00FC7807">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 xml:space="preserve">) - </w:t>
            </w:r>
            <w:r w:rsidRPr="00BE6FDB">
              <w:rPr>
                <w:rFonts w:asciiTheme="minorHAnsi" w:hAnsiTheme="minorHAnsi" w:cstheme="minorHAnsi"/>
                <w:color w:val="000000" w:themeColor="text1"/>
                <w:sz w:val="22"/>
                <w:szCs w:val="22"/>
              </w:rPr>
              <w:t xml:space="preserve">The Board of Governors of the Federal Reserve System, the Federal Deposit Insurance Corporation, and the Office of the Comptroller of the Currency (collectively, the agencies) are issuing a joint statement on crypto-asset risks to banking organizations. </w:t>
            </w:r>
          </w:p>
          <w:p w14:paraId="5EDBDCEC" w14:textId="77777777" w:rsidR="00BE6FDB" w:rsidRPr="00BE6FDB" w:rsidRDefault="00BE6FDB" w:rsidP="00BE6FDB">
            <w:pPr>
              <w:pStyle w:val="NormalWeb"/>
              <w:shd w:val="clear" w:color="auto" w:fill="FFFFFF"/>
              <w:rPr>
                <w:rFonts w:asciiTheme="minorHAnsi" w:hAnsiTheme="minorHAnsi" w:cstheme="minorHAnsi"/>
                <w:color w:val="000000" w:themeColor="text1"/>
                <w:sz w:val="22"/>
                <w:szCs w:val="22"/>
              </w:rPr>
            </w:pPr>
            <w:r w:rsidRPr="00BE6FDB">
              <w:rPr>
                <w:rFonts w:asciiTheme="minorHAnsi" w:hAnsiTheme="minorHAnsi" w:cstheme="minorHAnsi"/>
                <w:color w:val="000000" w:themeColor="text1"/>
                <w:sz w:val="22"/>
                <w:szCs w:val="22"/>
              </w:rPr>
              <w:t xml:space="preserve"> </w:t>
            </w:r>
          </w:p>
          <w:p w14:paraId="33B7454B" w14:textId="77777777" w:rsidR="00BE6FDB" w:rsidRPr="00BE6FDB" w:rsidRDefault="00BE6FDB" w:rsidP="00BE6FDB">
            <w:pPr>
              <w:pStyle w:val="NormalWeb"/>
              <w:shd w:val="clear" w:color="auto" w:fill="FFFFFF"/>
              <w:rPr>
                <w:rFonts w:asciiTheme="minorHAnsi" w:hAnsiTheme="minorHAnsi" w:cstheme="minorHAnsi"/>
                <w:color w:val="000000" w:themeColor="text1"/>
                <w:sz w:val="22"/>
                <w:szCs w:val="22"/>
              </w:rPr>
            </w:pPr>
            <w:r w:rsidRPr="00BE6FDB">
              <w:rPr>
                <w:rFonts w:asciiTheme="minorHAnsi" w:hAnsiTheme="minorHAnsi" w:cstheme="minorHAnsi"/>
                <w:color w:val="000000" w:themeColor="text1"/>
                <w:sz w:val="22"/>
                <w:szCs w:val="22"/>
              </w:rPr>
              <w:t>Statement of Applicability:</w:t>
            </w:r>
          </w:p>
          <w:p w14:paraId="18EA15E1" w14:textId="77777777" w:rsidR="00BE6FDB" w:rsidRPr="00BE6FDB" w:rsidRDefault="00BE6FDB" w:rsidP="00BE6FDB">
            <w:pPr>
              <w:pStyle w:val="NormalWeb"/>
              <w:shd w:val="clear" w:color="auto" w:fill="FFFFFF"/>
              <w:rPr>
                <w:rFonts w:asciiTheme="minorHAnsi" w:hAnsiTheme="minorHAnsi" w:cstheme="minorHAnsi"/>
                <w:color w:val="000000" w:themeColor="text1"/>
                <w:sz w:val="22"/>
                <w:szCs w:val="22"/>
              </w:rPr>
            </w:pPr>
            <w:r w:rsidRPr="00BE6FDB">
              <w:rPr>
                <w:rFonts w:asciiTheme="minorHAnsi" w:hAnsiTheme="minorHAnsi" w:cstheme="minorHAnsi"/>
                <w:color w:val="000000" w:themeColor="text1"/>
                <w:sz w:val="22"/>
                <w:szCs w:val="22"/>
              </w:rPr>
              <w:lastRenderedPageBreak/>
              <w:t>This Financial Institution Letter (FIL) applies to all FDIC-supervised institutions.</w:t>
            </w:r>
          </w:p>
          <w:p w14:paraId="00B37412" w14:textId="7BEF78B6" w:rsidR="00BE6FDB" w:rsidRPr="00BE6FDB" w:rsidRDefault="00BE6FDB" w:rsidP="00BE6FDB">
            <w:pPr>
              <w:pStyle w:val="NormalWeb"/>
              <w:shd w:val="clear" w:color="auto" w:fill="FFFFFF"/>
              <w:rPr>
                <w:rFonts w:asciiTheme="minorHAnsi" w:hAnsiTheme="minorHAnsi" w:cstheme="minorHAnsi"/>
                <w:color w:val="000000" w:themeColor="text1"/>
                <w:sz w:val="22"/>
                <w:szCs w:val="22"/>
              </w:rPr>
            </w:pPr>
          </w:p>
          <w:p w14:paraId="7F7896F9" w14:textId="77777777" w:rsidR="00BE6FDB" w:rsidRPr="00BE6FDB" w:rsidRDefault="00BE6FDB" w:rsidP="00BE6FDB">
            <w:pPr>
              <w:pStyle w:val="NormalWeb"/>
              <w:shd w:val="clear" w:color="auto" w:fill="FFFFFF"/>
              <w:rPr>
                <w:rFonts w:asciiTheme="minorHAnsi" w:hAnsiTheme="minorHAnsi" w:cstheme="minorHAnsi"/>
                <w:color w:val="000000" w:themeColor="text1"/>
                <w:sz w:val="22"/>
                <w:szCs w:val="22"/>
              </w:rPr>
            </w:pPr>
            <w:r w:rsidRPr="00BE6FDB">
              <w:rPr>
                <w:rFonts w:asciiTheme="minorHAnsi" w:hAnsiTheme="minorHAnsi" w:cstheme="minorHAnsi"/>
                <w:color w:val="000000" w:themeColor="text1"/>
                <w:sz w:val="22"/>
                <w:szCs w:val="22"/>
              </w:rPr>
              <w:t>Attachment:</w:t>
            </w:r>
          </w:p>
          <w:p w14:paraId="13183FDB" w14:textId="77777777" w:rsidR="00732248" w:rsidRDefault="00BE6FDB" w:rsidP="00BE6FDB">
            <w:pPr>
              <w:pStyle w:val="NormalWeb"/>
              <w:shd w:val="clear" w:color="auto" w:fill="FFFFFF"/>
              <w:rPr>
                <w:rFonts w:asciiTheme="minorHAnsi" w:hAnsiTheme="minorHAnsi" w:cstheme="minorHAnsi"/>
                <w:color w:val="000000" w:themeColor="text1"/>
                <w:sz w:val="22"/>
                <w:szCs w:val="22"/>
              </w:rPr>
            </w:pPr>
            <w:r w:rsidRPr="00BE6FDB">
              <w:rPr>
                <w:rFonts w:asciiTheme="minorHAnsi" w:hAnsiTheme="minorHAnsi" w:cstheme="minorHAnsi"/>
                <w:color w:val="000000" w:themeColor="text1"/>
                <w:sz w:val="22"/>
                <w:szCs w:val="22"/>
              </w:rPr>
              <w:t>Joint Statement on Crypto-Asset Risks to Banking Organizations</w:t>
            </w:r>
          </w:p>
          <w:p w14:paraId="2338038E" w14:textId="77777777" w:rsidR="00BE6FDB" w:rsidRDefault="00BE6FDB" w:rsidP="00BE6FDB">
            <w:pPr>
              <w:pStyle w:val="NormalWeb"/>
              <w:shd w:val="clear" w:color="auto" w:fill="FFFFFF"/>
              <w:rPr>
                <w:rFonts w:asciiTheme="minorHAnsi" w:hAnsiTheme="minorHAnsi" w:cstheme="minorHAnsi"/>
                <w:color w:val="000000" w:themeColor="text1"/>
                <w:sz w:val="22"/>
                <w:szCs w:val="22"/>
              </w:rPr>
            </w:pPr>
          </w:p>
          <w:p w14:paraId="1C61F764" w14:textId="755C69FA" w:rsidR="00220272" w:rsidRDefault="00BE6FDB" w:rsidP="00BE6FDB">
            <w:pPr>
              <w:pStyle w:val="NormalWeb"/>
              <w:shd w:val="clear" w:color="auto" w:fill="FFFFFF"/>
              <w:rPr>
                <w:rFonts w:asciiTheme="minorHAnsi" w:hAnsiTheme="minorHAnsi" w:cstheme="minorHAnsi"/>
                <w:b/>
                <w:bCs/>
                <w:i/>
                <w:iCs/>
                <w:color w:val="002060"/>
                <w:sz w:val="22"/>
                <w:szCs w:val="22"/>
              </w:rPr>
            </w:pPr>
            <w:r w:rsidRPr="00BE6FDB">
              <w:rPr>
                <w:rFonts w:asciiTheme="minorHAnsi" w:hAnsiTheme="minorHAnsi" w:cstheme="minorHAnsi"/>
                <w:b/>
                <w:bCs/>
                <w:i/>
                <w:iCs/>
                <w:color w:val="002060"/>
                <w:sz w:val="22"/>
                <w:szCs w:val="22"/>
              </w:rPr>
              <w:t>Comments:</w:t>
            </w:r>
            <w:r w:rsidR="00220272">
              <w:rPr>
                <w:rFonts w:asciiTheme="minorHAnsi" w:hAnsiTheme="minorHAnsi" w:cstheme="minorHAnsi"/>
                <w:b/>
                <w:bCs/>
                <w:i/>
                <w:iCs/>
                <w:color w:val="002060"/>
                <w:sz w:val="22"/>
                <w:szCs w:val="22"/>
              </w:rPr>
              <w:t xml:space="preserve"> In the joint statement, t</w:t>
            </w:r>
            <w:r w:rsidR="00220272" w:rsidRPr="00220272">
              <w:rPr>
                <w:rFonts w:asciiTheme="minorHAnsi" w:hAnsiTheme="minorHAnsi" w:cstheme="minorHAnsi"/>
                <w:b/>
                <w:bCs/>
                <w:i/>
                <w:iCs/>
                <w:color w:val="002060"/>
                <w:sz w:val="22"/>
                <w:szCs w:val="22"/>
              </w:rPr>
              <w:t>he regulators highlight key risks relevant to banking organizations and discuss</w:t>
            </w:r>
            <w:r w:rsidR="00220272">
              <w:rPr>
                <w:rFonts w:asciiTheme="minorHAnsi" w:hAnsiTheme="minorHAnsi" w:cstheme="minorHAnsi"/>
                <w:b/>
                <w:bCs/>
                <w:i/>
                <w:iCs/>
                <w:color w:val="002060"/>
                <w:sz w:val="22"/>
                <w:szCs w:val="22"/>
              </w:rPr>
              <w:t xml:space="preserve"> </w:t>
            </w:r>
            <w:r w:rsidR="00220272" w:rsidRPr="00220272">
              <w:rPr>
                <w:rFonts w:asciiTheme="minorHAnsi" w:hAnsiTheme="minorHAnsi" w:cstheme="minorHAnsi"/>
                <w:b/>
                <w:bCs/>
                <w:i/>
                <w:iCs/>
                <w:color w:val="002060"/>
                <w:sz w:val="22"/>
                <w:szCs w:val="22"/>
              </w:rPr>
              <w:t>views regarding whether crypto-asset activities are consistent with safe and sound banking practices</w:t>
            </w:r>
            <w:r w:rsidR="00220272">
              <w:rPr>
                <w:rFonts w:asciiTheme="minorHAnsi" w:hAnsiTheme="minorHAnsi" w:cstheme="minorHAnsi"/>
                <w:b/>
                <w:bCs/>
                <w:i/>
                <w:iCs/>
                <w:color w:val="002060"/>
                <w:sz w:val="22"/>
                <w:szCs w:val="22"/>
              </w:rPr>
              <w:t xml:space="preserve"> stating that those activities are</w:t>
            </w:r>
            <w:r w:rsidR="00220272" w:rsidRPr="00220272">
              <w:rPr>
                <w:rFonts w:asciiTheme="minorHAnsi" w:hAnsiTheme="minorHAnsi" w:cstheme="minorHAnsi"/>
                <w:b/>
                <w:bCs/>
                <w:i/>
                <w:iCs/>
                <w:color w:val="002060"/>
                <w:sz w:val="22"/>
                <w:szCs w:val="22"/>
              </w:rPr>
              <w:t xml:space="preserve"> “highly likely to be inconsistent with safe and sound banking practices</w:t>
            </w:r>
            <w:r w:rsidR="00220272">
              <w:rPr>
                <w:rFonts w:asciiTheme="minorHAnsi" w:hAnsiTheme="minorHAnsi" w:cstheme="minorHAnsi"/>
                <w:b/>
                <w:bCs/>
                <w:i/>
                <w:iCs/>
                <w:color w:val="002060"/>
                <w:sz w:val="22"/>
                <w:szCs w:val="22"/>
              </w:rPr>
              <w:t>.</w:t>
            </w:r>
            <w:r w:rsidR="00220272" w:rsidRPr="00220272">
              <w:rPr>
                <w:rFonts w:asciiTheme="minorHAnsi" w:hAnsiTheme="minorHAnsi" w:cstheme="minorHAnsi"/>
                <w:b/>
                <w:bCs/>
                <w:i/>
                <w:iCs/>
                <w:color w:val="002060"/>
                <w:sz w:val="22"/>
                <w:szCs w:val="22"/>
              </w:rPr>
              <w:t>”</w:t>
            </w:r>
          </w:p>
          <w:p w14:paraId="0FCA9A05" w14:textId="6A9522BC" w:rsidR="00220272" w:rsidRPr="00BE6FDB" w:rsidRDefault="00220272" w:rsidP="00BE6FDB">
            <w:pPr>
              <w:pStyle w:val="NormalWeb"/>
              <w:shd w:val="clear" w:color="auto" w:fill="FFFFFF"/>
              <w:rPr>
                <w:rFonts w:asciiTheme="minorHAnsi" w:hAnsiTheme="minorHAnsi" w:cstheme="minorHAnsi"/>
                <w:b/>
                <w:bCs/>
                <w:i/>
                <w:iCs/>
                <w:color w:val="000000" w:themeColor="text1"/>
                <w:sz w:val="22"/>
                <w:szCs w:val="22"/>
              </w:rPr>
            </w:pPr>
          </w:p>
        </w:tc>
      </w:tr>
      <w:tr w:rsidR="001D5482" w:rsidRPr="001E0B8E" w14:paraId="0574A2CC" w14:textId="77777777" w:rsidTr="001D5482">
        <w:tc>
          <w:tcPr>
            <w:tcW w:w="985" w:type="dxa"/>
            <w:shd w:val="clear" w:color="auto" w:fill="auto"/>
          </w:tcPr>
          <w:p w14:paraId="1B845F6F" w14:textId="77777777" w:rsidR="001D5482" w:rsidRPr="001E0B8E" w:rsidRDefault="001D5482" w:rsidP="007A5DE9">
            <w:pPr>
              <w:tabs>
                <w:tab w:val="left" w:pos="580"/>
              </w:tabs>
            </w:pPr>
          </w:p>
        </w:tc>
        <w:tc>
          <w:tcPr>
            <w:tcW w:w="8365" w:type="dxa"/>
          </w:tcPr>
          <w:p w14:paraId="404DD86D" w14:textId="77777777" w:rsidR="001D5482" w:rsidRPr="00BE6FDB" w:rsidRDefault="001D5482" w:rsidP="00BE6FDB">
            <w:pPr>
              <w:pStyle w:val="NormalWeb"/>
              <w:shd w:val="clear" w:color="auto" w:fill="FFFFFF"/>
              <w:rPr>
                <w:rFonts w:asciiTheme="minorHAnsi" w:hAnsiTheme="minorHAnsi" w:cstheme="minorHAnsi"/>
                <w:b/>
                <w:bCs/>
                <w:color w:val="000000" w:themeColor="text1"/>
                <w:sz w:val="22"/>
                <w:szCs w:val="22"/>
              </w:rPr>
            </w:pPr>
          </w:p>
        </w:tc>
      </w:tr>
      <w:tr w:rsidR="001D5482" w:rsidRPr="001E0B8E" w14:paraId="4AAD037E" w14:textId="77777777" w:rsidTr="00211348">
        <w:tc>
          <w:tcPr>
            <w:tcW w:w="985" w:type="dxa"/>
            <w:shd w:val="clear" w:color="auto" w:fill="00B050"/>
          </w:tcPr>
          <w:p w14:paraId="09189438" w14:textId="77777777" w:rsidR="001D5482" w:rsidRPr="001E0B8E" w:rsidRDefault="001D5482" w:rsidP="007A5DE9">
            <w:pPr>
              <w:tabs>
                <w:tab w:val="left" w:pos="580"/>
              </w:tabs>
            </w:pPr>
          </w:p>
        </w:tc>
        <w:tc>
          <w:tcPr>
            <w:tcW w:w="8365" w:type="dxa"/>
          </w:tcPr>
          <w:p w14:paraId="72B5F9E3" w14:textId="403374D8" w:rsidR="001D5482" w:rsidRDefault="001D5482" w:rsidP="001D5482">
            <w:pPr>
              <w:pStyle w:val="NormalWeb"/>
              <w:shd w:val="clear" w:color="auto" w:fill="FFFFFF"/>
              <w:rPr>
                <w:rFonts w:asciiTheme="minorHAnsi" w:hAnsiTheme="minorHAnsi" w:cstheme="minorHAnsi"/>
                <w:color w:val="000000" w:themeColor="text1"/>
                <w:sz w:val="22"/>
                <w:szCs w:val="22"/>
              </w:rPr>
            </w:pPr>
            <w:r w:rsidRPr="001D5482">
              <w:rPr>
                <w:rFonts w:asciiTheme="minorHAnsi" w:hAnsiTheme="minorHAnsi" w:cstheme="minorHAnsi"/>
                <w:b/>
                <w:bCs/>
                <w:color w:val="000000" w:themeColor="text1"/>
                <w:sz w:val="22"/>
                <w:szCs w:val="22"/>
              </w:rPr>
              <w:t>OCC</w:t>
            </w:r>
            <w:r w:rsidRPr="001D5482">
              <w:rPr>
                <w:rFonts w:asciiTheme="minorHAnsi" w:hAnsiTheme="minorHAnsi" w:cstheme="minorHAnsi"/>
                <w:color w:val="000000" w:themeColor="text1"/>
                <w:sz w:val="22"/>
                <w:szCs w:val="22"/>
              </w:rPr>
              <w:t xml:space="preserve"> </w:t>
            </w:r>
            <w:hyperlink r:id="rId17" w:history="1">
              <w:r w:rsidRPr="001D5482">
                <w:rPr>
                  <w:rStyle w:val="Hyperlink"/>
                  <w:rFonts w:asciiTheme="minorHAnsi" w:hAnsiTheme="minorHAnsi" w:cstheme="minorHAnsi"/>
                  <w:sz w:val="22"/>
                  <w:szCs w:val="22"/>
                </w:rPr>
                <w:t>Financial Literacy Update: First Quarter 2023</w:t>
              </w:r>
            </w:hyperlink>
            <w:r>
              <w:rPr>
                <w:rFonts w:asciiTheme="minorHAnsi" w:hAnsiTheme="minorHAnsi" w:cstheme="minorHAnsi"/>
                <w:color w:val="000000" w:themeColor="text1"/>
                <w:sz w:val="22"/>
                <w:szCs w:val="22"/>
              </w:rPr>
              <w:t xml:space="preserve"> (01/03/2023) - </w:t>
            </w:r>
            <w:r w:rsidRPr="001D5482">
              <w:rPr>
                <w:rFonts w:asciiTheme="minorHAnsi" w:hAnsiTheme="minorHAnsi" w:cstheme="minorHAnsi"/>
                <w:color w:val="000000" w:themeColor="text1"/>
                <w:sz w:val="22"/>
                <w:szCs w:val="22"/>
              </w:rPr>
              <w:t xml:space="preserve">The Office of the Comptroller of the Currency (OCC)'s Financial Literacy Update is a quarterly e-newsletter that reports upcoming events, new initiatives, and related resources of the OCC and other government agencies and organizations. The Financial Literacy Update provides brief descriptions for upcoming events in chronological order. New initiatives and resources are listed in alphabetical order. Visit </w:t>
            </w:r>
            <w:hyperlink r:id="rId18" w:history="1">
              <w:r w:rsidRPr="00166B59">
                <w:rPr>
                  <w:rStyle w:val="Hyperlink"/>
                  <w:rFonts w:asciiTheme="minorHAnsi" w:hAnsiTheme="minorHAnsi" w:cstheme="minorHAnsi"/>
                  <w:sz w:val="22"/>
                  <w:szCs w:val="22"/>
                </w:rPr>
                <w:t>www.occ.gov/flu</w:t>
              </w:r>
            </w:hyperlink>
            <w:r>
              <w:rPr>
                <w:rFonts w:asciiTheme="minorHAnsi" w:hAnsiTheme="minorHAnsi" w:cstheme="minorHAnsi"/>
                <w:color w:val="000000" w:themeColor="text1"/>
                <w:sz w:val="22"/>
                <w:szCs w:val="22"/>
              </w:rPr>
              <w:t xml:space="preserve"> </w:t>
            </w:r>
            <w:r w:rsidRPr="001D5482">
              <w:rPr>
                <w:rFonts w:asciiTheme="minorHAnsi" w:hAnsiTheme="minorHAnsi" w:cstheme="minorHAnsi"/>
                <w:color w:val="000000" w:themeColor="text1"/>
                <w:sz w:val="22"/>
                <w:szCs w:val="22"/>
              </w:rPr>
              <w:t>for more information. We welcome your feedback.</w:t>
            </w:r>
          </w:p>
          <w:p w14:paraId="55C20EA4" w14:textId="77777777" w:rsidR="001D5482" w:rsidRPr="001D5482" w:rsidRDefault="001D5482" w:rsidP="001D5482">
            <w:pPr>
              <w:pStyle w:val="NormalWeb"/>
              <w:shd w:val="clear" w:color="auto" w:fill="FFFFFF"/>
              <w:rPr>
                <w:rFonts w:asciiTheme="minorHAnsi" w:hAnsiTheme="minorHAnsi" w:cstheme="minorHAnsi"/>
                <w:color w:val="000000" w:themeColor="text1"/>
                <w:sz w:val="22"/>
                <w:szCs w:val="22"/>
              </w:rPr>
            </w:pPr>
          </w:p>
          <w:p w14:paraId="4A4072C6" w14:textId="77777777" w:rsidR="001D5482" w:rsidRPr="001D5482" w:rsidRDefault="001D5482" w:rsidP="001D5482">
            <w:pPr>
              <w:pStyle w:val="NormalWeb"/>
              <w:shd w:val="clear" w:color="auto" w:fill="FFFFFF"/>
              <w:rPr>
                <w:rFonts w:asciiTheme="minorHAnsi" w:hAnsiTheme="minorHAnsi" w:cstheme="minorHAnsi"/>
                <w:color w:val="000000" w:themeColor="text1"/>
                <w:sz w:val="22"/>
                <w:szCs w:val="22"/>
              </w:rPr>
            </w:pPr>
            <w:r w:rsidRPr="001D5482">
              <w:rPr>
                <w:rFonts w:asciiTheme="minorHAnsi" w:hAnsiTheme="minorHAnsi" w:cstheme="minorHAnsi"/>
                <w:color w:val="000000" w:themeColor="text1"/>
                <w:sz w:val="22"/>
                <w:szCs w:val="22"/>
              </w:rPr>
              <w:t>In This Issue</w:t>
            </w:r>
          </w:p>
          <w:p w14:paraId="36653B3F" w14:textId="77777777" w:rsidR="001D5482" w:rsidRPr="001D5482" w:rsidRDefault="00000000" w:rsidP="001D5482">
            <w:pPr>
              <w:numPr>
                <w:ilvl w:val="0"/>
                <w:numId w:val="45"/>
              </w:numPr>
              <w:rPr>
                <w:rFonts w:eastAsia="Times New Roman" w:cstheme="minorHAnsi"/>
                <w:color w:val="212121"/>
              </w:rPr>
            </w:pPr>
            <w:hyperlink w:anchor="1" w:history="1">
              <w:r w:rsidR="001D5482" w:rsidRPr="001D5482">
                <w:rPr>
                  <w:rFonts w:eastAsia="Times New Roman" w:cstheme="minorHAnsi"/>
                  <w:color w:val="205493"/>
                </w:rPr>
                <w:t>COVID-19</w:t>
              </w:r>
            </w:hyperlink>
          </w:p>
          <w:p w14:paraId="649EAEA2" w14:textId="77777777" w:rsidR="001D5482" w:rsidRPr="001D5482" w:rsidRDefault="00000000" w:rsidP="001D5482">
            <w:pPr>
              <w:numPr>
                <w:ilvl w:val="0"/>
                <w:numId w:val="46"/>
              </w:numPr>
              <w:rPr>
                <w:rFonts w:eastAsia="Times New Roman" w:cstheme="minorHAnsi"/>
                <w:color w:val="212121"/>
              </w:rPr>
            </w:pPr>
            <w:hyperlink w:anchor="2" w:history="1">
              <w:r w:rsidR="001D5482" w:rsidRPr="001D5482">
                <w:rPr>
                  <w:rFonts w:eastAsia="Times New Roman" w:cstheme="minorHAnsi"/>
                  <w:color w:val="205493"/>
                </w:rPr>
                <w:t>Events</w:t>
              </w:r>
            </w:hyperlink>
          </w:p>
          <w:p w14:paraId="369E7962" w14:textId="77777777" w:rsidR="001D5482" w:rsidRPr="001D5482" w:rsidRDefault="00000000" w:rsidP="001D5482">
            <w:pPr>
              <w:numPr>
                <w:ilvl w:val="0"/>
                <w:numId w:val="47"/>
              </w:numPr>
              <w:rPr>
                <w:rFonts w:eastAsia="Times New Roman" w:cstheme="minorHAnsi"/>
                <w:color w:val="212121"/>
              </w:rPr>
            </w:pPr>
            <w:hyperlink w:anchor="3" w:history="1">
              <w:r w:rsidR="001D5482" w:rsidRPr="001D5482">
                <w:rPr>
                  <w:rFonts w:eastAsia="Times New Roman" w:cstheme="minorHAnsi"/>
                  <w:color w:val="205493"/>
                </w:rPr>
                <w:t>Initiatives</w:t>
              </w:r>
            </w:hyperlink>
          </w:p>
          <w:p w14:paraId="78A37A17" w14:textId="77777777" w:rsidR="001D5482" w:rsidRPr="001D5482" w:rsidRDefault="00000000" w:rsidP="001D5482">
            <w:pPr>
              <w:numPr>
                <w:ilvl w:val="0"/>
                <w:numId w:val="48"/>
              </w:numPr>
              <w:rPr>
                <w:rFonts w:eastAsia="Times New Roman" w:cstheme="minorHAnsi"/>
                <w:color w:val="212121"/>
              </w:rPr>
            </w:pPr>
            <w:hyperlink w:anchor="4" w:history="1">
              <w:r w:rsidR="001D5482" w:rsidRPr="001D5482">
                <w:rPr>
                  <w:rFonts w:eastAsia="Times New Roman" w:cstheme="minorHAnsi"/>
                  <w:color w:val="205493"/>
                </w:rPr>
                <w:t>Resources</w:t>
              </w:r>
            </w:hyperlink>
          </w:p>
          <w:p w14:paraId="0EFAE843" w14:textId="26B56F43" w:rsidR="001D5482" w:rsidRPr="001D5482" w:rsidRDefault="001D5482" w:rsidP="001D5482">
            <w:pPr>
              <w:pStyle w:val="NormalWeb"/>
              <w:shd w:val="clear" w:color="auto" w:fill="FFFFFF"/>
              <w:rPr>
                <w:rFonts w:asciiTheme="minorHAnsi" w:hAnsiTheme="minorHAnsi" w:cstheme="minorHAnsi"/>
                <w:color w:val="000000" w:themeColor="text1"/>
                <w:sz w:val="22"/>
                <w:szCs w:val="22"/>
              </w:rPr>
            </w:pPr>
          </w:p>
        </w:tc>
      </w:tr>
      <w:bookmarkEnd w:id="23"/>
    </w:tbl>
    <w:p w14:paraId="6A18DF6F" w14:textId="79C1E0E1" w:rsidR="001D488F" w:rsidRPr="001E0B8E" w:rsidRDefault="001D488F"/>
    <w:p w14:paraId="02F04456" w14:textId="72C15372" w:rsidR="00AC1F42" w:rsidRPr="001E0B8E" w:rsidRDefault="00AC1F42" w:rsidP="00AC1F42">
      <w:pPr>
        <w:rPr>
          <w:rFonts w:ascii="Verdana" w:hAnsi="Verdana"/>
          <w:b/>
          <w:bCs/>
        </w:rPr>
      </w:pPr>
      <w:r w:rsidRPr="001E0B8E">
        <w:rPr>
          <w:rFonts w:ascii="Verdana" w:hAnsi="Verdana"/>
          <w:b/>
          <w:bCs/>
        </w:rPr>
        <w:t>BSA / AML</w:t>
      </w:r>
    </w:p>
    <w:tbl>
      <w:tblPr>
        <w:tblStyle w:val="TableGrid"/>
        <w:tblW w:w="0" w:type="auto"/>
        <w:tblLook w:val="04A0" w:firstRow="1" w:lastRow="0" w:firstColumn="1" w:lastColumn="0" w:noHBand="0" w:noVBand="1"/>
      </w:tblPr>
      <w:tblGrid>
        <w:gridCol w:w="985"/>
        <w:gridCol w:w="8365"/>
      </w:tblGrid>
      <w:tr w:rsidR="00BE5D3F" w:rsidRPr="001E0B8E" w14:paraId="632E24FC" w14:textId="77777777" w:rsidTr="00B451AA">
        <w:tc>
          <w:tcPr>
            <w:tcW w:w="985" w:type="dxa"/>
            <w:shd w:val="clear" w:color="auto" w:fill="00B050"/>
          </w:tcPr>
          <w:p w14:paraId="41059ADD" w14:textId="77777777" w:rsidR="00BE5D3F" w:rsidRPr="001E0B8E" w:rsidRDefault="00BE5D3F" w:rsidP="00215448">
            <w:pPr>
              <w:tabs>
                <w:tab w:val="left" w:pos="580"/>
              </w:tabs>
            </w:pPr>
          </w:p>
        </w:tc>
        <w:tc>
          <w:tcPr>
            <w:tcW w:w="8365" w:type="dxa"/>
          </w:tcPr>
          <w:p w14:paraId="0F12E6D5" w14:textId="5EA8F2C3" w:rsidR="00B30384" w:rsidRPr="001E0B8E" w:rsidRDefault="00B30384" w:rsidP="00262CF6">
            <w:pPr>
              <w:shd w:val="clear" w:color="auto" w:fill="FFFFFF"/>
              <w:textAlignment w:val="baseline"/>
            </w:pPr>
          </w:p>
        </w:tc>
      </w:tr>
    </w:tbl>
    <w:p w14:paraId="1DDD0CDB" w14:textId="270F550C" w:rsidR="00AC1F42" w:rsidRPr="001E0B8E" w:rsidRDefault="00AC1F42"/>
    <w:p w14:paraId="0E392223" w14:textId="17B4C8EB" w:rsidR="001D488F" w:rsidRPr="001E0B8E" w:rsidRDefault="000015D0">
      <w:pPr>
        <w:rPr>
          <w:rFonts w:cstheme="minorHAnsi"/>
          <w:b/>
          <w:bCs/>
        </w:rPr>
      </w:pPr>
      <w:r w:rsidRPr="001E0B8E">
        <w:rPr>
          <w:rFonts w:ascii="Verdana" w:hAnsi="Verdana"/>
          <w:b/>
          <w:bCs/>
        </w:rPr>
        <w:t xml:space="preserve">Deposit </w:t>
      </w:r>
      <w:r w:rsidR="00764234" w:rsidRPr="001E0B8E">
        <w:rPr>
          <w:rFonts w:ascii="Verdana" w:hAnsi="Verdana"/>
          <w:b/>
          <w:bCs/>
        </w:rPr>
        <w:t xml:space="preserve">/ Retail </w:t>
      </w:r>
      <w:r w:rsidRPr="001E0B8E">
        <w:rPr>
          <w:rFonts w:ascii="Verdana" w:hAnsi="Verdana"/>
          <w:b/>
          <w:bCs/>
        </w:rPr>
        <w:t>Operations</w:t>
      </w:r>
    </w:p>
    <w:tbl>
      <w:tblPr>
        <w:tblStyle w:val="TableGrid"/>
        <w:tblW w:w="0" w:type="auto"/>
        <w:tblLook w:val="04A0" w:firstRow="1" w:lastRow="0" w:firstColumn="1" w:lastColumn="0" w:noHBand="0" w:noVBand="1"/>
      </w:tblPr>
      <w:tblGrid>
        <w:gridCol w:w="985"/>
        <w:gridCol w:w="8365"/>
      </w:tblGrid>
      <w:tr w:rsidR="000829A5" w:rsidRPr="001E0B8E" w14:paraId="41644271" w14:textId="77777777" w:rsidTr="00A061F4">
        <w:tc>
          <w:tcPr>
            <w:tcW w:w="985" w:type="dxa"/>
            <w:shd w:val="clear" w:color="auto" w:fill="FFFF00"/>
          </w:tcPr>
          <w:p w14:paraId="7579B122" w14:textId="77777777" w:rsidR="000829A5" w:rsidRPr="001E0B8E" w:rsidRDefault="000829A5" w:rsidP="0019152D">
            <w:pPr>
              <w:rPr>
                <w:rFonts w:cstheme="minorHAnsi"/>
              </w:rPr>
            </w:pPr>
          </w:p>
        </w:tc>
        <w:tc>
          <w:tcPr>
            <w:tcW w:w="8365" w:type="dxa"/>
          </w:tcPr>
          <w:p w14:paraId="588D578B" w14:textId="63381958" w:rsidR="002B4A9D" w:rsidRPr="002B4A9D" w:rsidRDefault="002B4A9D" w:rsidP="002B4A9D">
            <w:pPr>
              <w:rPr>
                <w:rFonts w:cstheme="minorHAnsi"/>
                <w:b/>
                <w:bCs/>
                <w:i/>
                <w:iCs/>
              </w:rPr>
            </w:pPr>
          </w:p>
        </w:tc>
      </w:tr>
    </w:tbl>
    <w:p w14:paraId="5BB3FAA9" w14:textId="5B597A23" w:rsidR="000015D0" w:rsidRPr="001E0B8E" w:rsidRDefault="000015D0">
      <w:pPr>
        <w:rPr>
          <w:rFonts w:ascii="Verdana" w:hAnsi="Verdana"/>
          <w:b/>
          <w:bCs/>
        </w:rPr>
      </w:pPr>
    </w:p>
    <w:p w14:paraId="79A26B60" w14:textId="77777777" w:rsidR="00AC1F42" w:rsidRPr="001E0B8E" w:rsidRDefault="00AC1F42" w:rsidP="00AC1F42">
      <w:pPr>
        <w:rPr>
          <w:rFonts w:ascii="Verdana" w:hAnsi="Verdana"/>
          <w:b/>
          <w:bCs/>
        </w:rPr>
      </w:pPr>
      <w:r w:rsidRPr="001E0B8E">
        <w:rPr>
          <w:rFonts w:ascii="Verdana" w:hAnsi="Verdana"/>
          <w:b/>
          <w:bCs/>
        </w:rPr>
        <w:t>Human Resources</w:t>
      </w:r>
    </w:p>
    <w:tbl>
      <w:tblPr>
        <w:tblStyle w:val="TableGrid"/>
        <w:tblW w:w="0" w:type="auto"/>
        <w:tblLook w:val="04A0" w:firstRow="1" w:lastRow="0" w:firstColumn="1" w:lastColumn="0" w:noHBand="0" w:noVBand="1"/>
      </w:tblPr>
      <w:tblGrid>
        <w:gridCol w:w="985"/>
        <w:gridCol w:w="8365"/>
      </w:tblGrid>
      <w:tr w:rsidR="00BF315E" w:rsidRPr="001E0B8E" w14:paraId="0AB56295" w14:textId="77777777" w:rsidTr="00494CF2">
        <w:tc>
          <w:tcPr>
            <w:tcW w:w="985" w:type="dxa"/>
            <w:shd w:val="clear" w:color="auto" w:fill="FFFF00"/>
          </w:tcPr>
          <w:p w14:paraId="01AB86D6" w14:textId="77777777" w:rsidR="00BF315E" w:rsidRPr="00A735DB" w:rsidRDefault="00BF315E" w:rsidP="00215448"/>
        </w:tc>
        <w:tc>
          <w:tcPr>
            <w:tcW w:w="8365" w:type="dxa"/>
          </w:tcPr>
          <w:p w14:paraId="181FE0BD" w14:textId="76A94A26" w:rsidR="00494CF2" w:rsidRPr="00494CF2" w:rsidRDefault="00494CF2" w:rsidP="00494CF2">
            <w:pPr>
              <w:shd w:val="clear" w:color="auto" w:fill="FFFFFF"/>
              <w:tabs>
                <w:tab w:val="left" w:pos="5790"/>
              </w:tabs>
              <w:textAlignment w:val="baseline"/>
              <w:rPr>
                <w:rFonts w:cstheme="minorHAnsi"/>
              </w:rPr>
            </w:pPr>
            <w:r w:rsidRPr="00494CF2">
              <w:rPr>
                <w:rFonts w:cstheme="minorHAnsi"/>
                <w:b/>
                <w:bCs/>
              </w:rPr>
              <w:t>FTC</w:t>
            </w:r>
            <w:r w:rsidRPr="00494CF2">
              <w:rPr>
                <w:rFonts w:cstheme="minorHAnsi"/>
              </w:rPr>
              <w:t xml:space="preserve"> </w:t>
            </w:r>
            <w:hyperlink r:id="rId19" w:history="1">
              <w:r w:rsidRPr="00494CF2">
                <w:rPr>
                  <w:rStyle w:val="Hyperlink"/>
                  <w:rFonts w:cstheme="minorHAnsi"/>
                </w:rPr>
                <w:t>Proposes Rule to Ban Noncompete Clauses, Which Hurt Workers and Harm Competition</w:t>
              </w:r>
            </w:hyperlink>
            <w:r w:rsidRPr="00494CF2">
              <w:rPr>
                <w:rFonts w:cstheme="minorHAnsi"/>
              </w:rPr>
              <w:t xml:space="preserve"> </w:t>
            </w:r>
            <w:r>
              <w:rPr>
                <w:rFonts w:cstheme="minorHAnsi"/>
              </w:rPr>
              <w:t xml:space="preserve">(01/05/2023) - </w:t>
            </w:r>
            <w:r w:rsidRPr="00494CF2">
              <w:rPr>
                <w:rFonts w:cstheme="minorHAnsi"/>
              </w:rPr>
              <w:t>The Federal Trade Commission proposed a new rule that would ban employers from imposing noncompetes on their workers, a widespread and often exploitative practice that suppresses wages, hampers innovation, and blocks entrepreneurs from starting new businesses.</w:t>
            </w:r>
          </w:p>
          <w:p w14:paraId="19FD816A" w14:textId="77777777" w:rsidR="00494CF2" w:rsidRPr="00494CF2" w:rsidRDefault="00494CF2" w:rsidP="00494CF2">
            <w:pPr>
              <w:shd w:val="clear" w:color="auto" w:fill="FFFFFF"/>
              <w:tabs>
                <w:tab w:val="left" w:pos="5790"/>
              </w:tabs>
              <w:textAlignment w:val="baseline"/>
              <w:rPr>
                <w:rFonts w:cstheme="minorHAnsi"/>
                <w:b/>
                <w:bCs/>
                <w:i/>
                <w:iCs/>
                <w:color w:val="002060"/>
              </w:rPr>
            </w:pPr>
          </w:p>
          <w:p w14:paraId="1043D13D" w14:textId="77777777" w:rsidR="004E0401" w:rsidRDefault="00494CF2" w:rsidP="00494CF2">
            <w:pPr>
              <w:shd w:val="clear" w:color="auto" w:fill="FFFFFF"/>
              <w:tabs>
                <w:tab w:val="left" w:pos="5790"/>
              </w:tabs>
              <w:textAlignment w:val="baseline"/>
              <w:rPr>
                <w:rFonts w:cstheme="minorHAnsi"/>
                <w:b/>
                <w:bCs/>
                <w:i/>
                <w:iCs/>
                <w:color w:val="002060"/>
              </w:rPr>
            </w:pPr>
            <w:r w:rsidRPr="00494CF2">
              <w:rPr>
                <w:rFonts w:cstheme="minorHAnsi"/>
                <w:b/>
                <w:bCs/>
                <w:i/>
                <w:iCs/>
                <w:color w:val="002060"/>
              </w:rPr>
              <w:t xml:space="preserve">Comment: Many community banks negotiate noncompete agreements with some sort of ‘consideration’ for senior management preventing them from working with another bank in the surrounding area for some defined period of time.  Commercial borrowers tend to have much closer relationships with their loan officers than mortgage borrowers, </w:t>
            </w:r>
            <w:r w:rsidRPr="00494CF2">
              <w:rPr>
                <w:rFonts w:cstheme="minorHAnsi"/>
                <w:b/>
                <w:bCs/>
                <w:i/>
                <w:iCs/>
                <w:color w:val="002060"/>
              </w:rPr>
              <w:lastRenderedPageBreak/>
              <w:t>and are much more likely to follow a banker to a new financial institution.  A carefully crafted noncompete allowed community banks to protect existing relationships with local businesses from being ‘poached’ when an experienced banker moved on.</w:t>
            </w:r>
          </w:p>
          <w:p w14:paraId="2C606FFF" w14:textId="4E222DCC" w:rsidR="00494CF2" w:rsidRPr="004E0401" w:rsidRDefault="00494CF2" w:rsidP="00494CF2">
            <w:pPr>
              <w:shd w:val="clear" w:color="auto" w:fill="FFFFFF"/>
              <w:tabs>
                <w:tab w:val="left" w:pos="5790"/>
              </w:tabs>
              <w:textAlignment w:val="baseline"/>
              <w:rPr>
                <w:rFonts w:cstheme="minorHAnsi"/>
                <w:b/>
                <w:bCs/>
                <w:i/>
                <w:iCs/>
              </w:rPr>
            </w:pPr>
          </w:p>
        </w:tc>
      </w:tr>
    </w:tbl>
    <w:p w14:paraId="12AF805C" w14:textId="7522E3B5" w:rsidR="00AC1F42" w:rsidRPr="001E0B8E" w:rsidRDefault="00AC1F42">
      <w:pPr>
        <w:rPr>
          <w:rFonts w:ascii="Verdana" w:hAnsi="Verdana"/>
          <w:b/>
          <w:bCs/>
        </w:rPr>
      </w:pPr>
    </w:p>
    <w:p w14:paraId="6F291F0F" w14:textId="77777777" w:rsidR="00AC1F42" w:rsidRPr="001E0B8E" w:rsidRDefault="00AC1F42" w:rsidP="00AC1F42">
      <w:pPr>
        <w:rPr>
          <w:rFonts w:ascii="Verdana" w:hAnsi="Verdana"/>
          <w:b/>
          <w:bCs/>
        </w:rPr>
      </w:pPr>
      <w:r w:rsidRPr="001E0B8E">
        <w:rPr>
          <w:rFonts w:ascii="Verdana" w:hAnsi="Verdana"/>
          <w:b/>
          <w:bCs/>
        </w:rPr>
        <w:t>Lending</w:t>
      </w:r>
    </w:p>
    <w:tbl>
      <w:tblPr>
        <w:tblStyle w:val="TableGrid"/>
        <w:tblW w:w="0" w:type="auto"/>
        <w:tblLook w:val="04A0" w:firstRow="1" w:lastRow="0" w:firstColumn="1" w:lastColumn="0" w:noHBand="0" w:noVBand="1"/>
      </w:tblPr>
      <w:tblGrid>
        <w:gridCol w:w="978"/>
        <w:gridCol w:w="8372"/>
      </w:tblGrid>
      <w:tr w:rsidR="007E7744" w:rsidRPr="001E0B8E" w14:paraId="0699AAEB" w14:textId="77777777" w:rsidTr="00A65700">
        <w:tc>
          <w:tcPr>
            <w:tcW w:w="978" w:type="dxa"/>
            <w:shd w:val="clear" w:color="auto" w:fill="00B050"/>
          </w:tcPr>
          <w:p w14:paraId="316E3315" w14:textId="77777777" w:rsidR="007E7744" w:rsidRPr="001E0B8E" w:rsidRDefault="007E7744" w:rsidP="00EE3D72">
            <w:pPr>
              <w:tabs>
                <w:tab w:val="left" w:pos="500"/>
              </w:tabs>
              <w:rPr>
                <w:color w:val="00B050"/>
              </w:rPr>
            </w:pPr>
          </w:p>
        </w:tc>
        <w:tc>
          <w:tcPr>
            <w:tcW w:w="8372" w:type="dxa"/>
          </w:tcPr>
          <w:p w14:paraId="45F2B2E7" w14:textId="2F684A45" w:rsidR="00932744" w:rsidRDefault="00932744" w:rsidP="00932744">
            <w:pPr>
              <w:rPr>
                <w:rFonts w:cstheme="minorHAnsi"/>
              </w:rPr>
            </w:pPr>
            <w:r w:rsidRPr="00932744">
              <w:rPr>
                <w:rFonts w:cstheme="minorHAnsi"/>
                <w:b/>
                <w:bCs/>
              </w:rPr>
              <w:t>CFPB</w:t>
            </w:r>
            <w:r>
              <w:rPr>
                <w:rFonts w:cstheme="minorHAnsi"/>
              </w:rPr>
              <w:t xml:space="preserve"> </w:t>
            </w:r>
            <w:hyperlink r:id="rId20" w:history="1">
              <w:r w:rsidRPr="005703E8">
                <w:rPr>
                  <w:rStyle w:val="Hyperlink"/>
                  <w:rFonts w:cstheme="minorHAnsi"/>
                </w:rPr>
                <w:t>Filing Period for 2022 HMDA Data Open</w:t>
              </w:r>
            </w:hyperlink>
            <w:r>
              <w:rPr>
                <w:rFonts w:cstheme="minorHAnsi"/>
              </w:rPr>
              <w:t xml:space="preserve"> (01/04/23) - </w:t>
            </w:r>
            <w:r w:rsidRPr="00932744">
              <w:rPr>
                <w:rFonts w:cstheme="minorHAnsi"/>
              </w:rPr>
              <w:t>The CFPB is pleased to announce that the filing period for HMDA data collected in 2022 opened on January 1, 2023. Submissions will be considered timely if received on or before Wednesday, March 1, 2023. The HMDA Platform provides financial institutions an opportunity to determine whether their loan/application register (LAR) data comply with the reporting requirements outlined in the Filing Instructions Guide for HMDA data collected in 2022.</w:t>
            </w:r>
          </w:p>
          <w:p w14:paraId="01C40EA9" w14:textId="77777777" w:rsidR="00932744" w:rsidRPr="00932744" w:rsidRDefault="00932744" w:rsidP="00932744">
            <w:pPr>
              <w:rPr>
                <w:rFonts w:cstheme="minorHAnsi"/>
              </w:rPr>
            </w:pPr>
          </w:p>
          <w:p w14:paraId="0AC6249C" w14:textId="77777777" w:rsidR="00932744" w:rsidRPr="00932744" w:rsidRDefault="00932744" w:rsidP="00932744">
            <w:pPr>
              <w:rPr>
                <w:rFonts w:cstheme="minorHAnsi"/>
              </w:rPr>
            </w:pPr>
            <w:r w:rsidRPr="00932744">
              <w:rPr>
                <w:rFonts w:cstheme="minorHAnsi"/>
              </w:rPr>
              <w:t>Submit your data</w:t>
            </w:r>
          </w:p>
          <w:p w14:paraId="6E771C3B" w14:textId="3A29F767" w:rsidR="00932744" w:rsidRDefault="00932744" w:rsidP="00932744">
            <w:pPr>
              <w:rPr>
                <w:rFonts w:cstheme="minorHAnsi"/>
              </w:rPr>
            </w:pPr>
            <w:r w:rsidRPr="00932744">
              <w:rPr>
                <w:rFonts w:cstheme="minorHAnsi"/>
              </w:rPr>
              <w:t xml:space="preserve">Access the HMDA Platform to begin the filing process for data collected in 2022 here:  </w:t>
            </w:r>
            <w:hyperlink r:id="rId21" w:history="1">
              <w:r w:rsidRPr="00166B59">
                <w:rPr>
                  <w:rStyle w:val="Hyperlink"/>
                  <w:rFonts w:cstheme="minorHAnsi"/>
                </w:rPr>
                <w:t>https://ffiec.cfpb.gov/filing/</w:t>
              </w:r>
            </w:hyperlink>
            <w:r w:rsidRPr="00932744">
              <w:rPr>
                <w:rFonts w:cstheme="minorHAnsi"/>
              </w:rPr>
              <w:t>.</w:t>
            </w:r>
            <w:r>
              <w:rPr>
                <w:rFonts w:cstheme="minorHAnsi"/>
              </w:rPr>
              <w:t xml:space="preserve"> </w:t>
            </w:r>
          </w:p>
          <w:p w14:paraId="77050F91" w14:textId="77777777" w:rsidR="00932744" w:rsidRPr="00932744" w:rsidRDefault="00932744" w:rsidP="00932744">
            <w:pPr>
              <w:rPr>
                <w:rFonts w:cstheme="minorHAnsi"/>
              </w:rPr>
            </w:pPr>
          </w:p>
          <w:p w14:paraId="6A830009" w14:textId="21060F61" w:rsidR="00932744" w:rsidRDefault="00932744" w:rsidP="00932744">
            <w:pPr>
              <w:rPr>
                <w:rFonts w:cstheme="minorHAnsi"/>
              </w:rPr>
            </w:pPr>
            <w:r w:rsidRPr="00932744">
              <w:rPr>
                <w:rFonts w:cstheme="minorHAnsi"/>
              </w:rPr>
              <w:t>Users will receive a confirmation email upon submission of their HMDA data. The confirmation email will be sent to the email account of the user that has submitted the data.</w:t>
            </w:r>
          </w:p>
          <w:p w14:paraId="0088C932" w14:textId="77777777" w:rsidR="00932744" w:rsidRPr="00932744" w:rsidRDefault="00932744" w:rsidP="00932744">
            <w:pPr>
              <w:rPr>
                <w:rFonts w:cstheme="minorHAnsi"/>
              </w:rPr>
            </w:pPr>
          </w:p>
          <w:p w14:paraId="4CEE4162" w14:textId="6B4F329D" w:rsidR="00932744" w:rsidRPr="00932744" w:rsidRDefault="00932744" w:rsidP="00932744">
            <w:pPr>
              <w:rPr>
                <w:rFonts w:cstheme="minorHAnsi"/>
              </w:rPr>
            </w:pPr>
            <w:r w:rsidRPr="00932744">
              <w:rPr>
                <w:rFonts w:cstheme="minorHAnsi"/>
              </w:rPr>
              <w:t>Testing your submission?</w:t>
            </w:r>
          </w:p>
          <w:p w14:paraId="68CDC3F9" w14:textId="7B7A8C19" w:rsidR="00932744" w:rsidRDefault="00932744" w:rsidP="00932744">
            <w:pPr>
              <w:rPr>
                <w:rFonts w:cstheme="minorHAnsi"/>
              </w:rPr>
            </w:pPr>
            <w:r w:rsidRPr="00932744">
              <w:rPr>
                <w:rFonts w:cstheme="minorHAnsi"/>
              </w:rPr>
              <w:t xml:space="preserve">The Beta Platform found at </w:t>
            </w:r>
            <w:hyperlink r:id="rId22" w:history="1">
              <w:r w:rsidRPr="00166B59">
                <w:rPr>
                  <w:rStyle w:val="Hyperlink"/>
                  <w:rFonts w:cstheme="minorHAnsi"/>
                </w:rPr>
                <w:t>https://ffiec.beta.cfpb.gov/filing/</w:t>
              </w:r>
            </w:hyperlink>
            <w:r>
              <w:rPr>
                <w:rFonts w:cstheme="minorHAnsi"/>
              </w:rPr>
              <w:t xml:space="preserve"> </w:t>
            </w:r>
            <w:r w:rsidRPr="00932744">
              <w:rPr>
                <w:rFonts w:cstheme="minorHAnsi"/>
              </w:rPr>
              <w:t xml:space="preserve">will remain available on an ongoing basis for filers wishing to test their submissions. Please note that the Beta Platform is for testing purposes only. No data submitted on the Beta Platform will be considered for compliance with HMDA data reporting requirements. To submit your HMDA Data for 2022, visit the live HMDA Platform at </w:t>
            </w:r>
            <w:hyperlink r:id="rId23" w:history="1">
              <w:r w:rsidR="00C560CA" w:rsidRPr="00166B59">
                <w:rPr>
                  <w:rStyle w:val="Hyperlink"/>
                  <w:rFonts w:cstheme="minorHAnsi"/>
                </w:rPr>
                <w:t>https://ffiec.cfpb.gov/filing/</w:t>
              </w:r>
            </w:hyperlink>
            <w:r w:rsidR="00C560CA">
              <w:rPr>
                <w:rFonts w:cstheme="minorHAnsi"/>
              </w:rPr>
              <w:t>.</w:t>
            </w:r>
          </w:p>
          <w:p w14:paraId="275DA1F4" w14:textId="77777777" w:rsidR="00C560CA" w:rsidRPr="00932744" w:rsidRDefault="00C560CA" w:rsidP="00932744">
            <w:pPr>
              <w:rPr>
                <w:rFonts w:cstheme="minorHAnsi"/>
              </w:rPr>
            </w:pPr>
          </w:p>
          <w:p w14:paraId="38E405F1" w14:textId="5855A9AB" w:rsidR="00932744" w:rsidRDefault="00932744" w:rsidP="00932744">
            <w:pPr>
              <w:rPr>
                <w:rFonts w:cstheme="minorHAnsi"/>
              </w:rPr>
            </w:pPr>
            <w:r w:rsidRPr="00932744">
              <w:rPr>
                <w:rFonts w:cstheme="minorHAnsi"/>
              </w:rPr>
              <w:t>This year, included on the Beta Website is a new tool that provides institutions with assistance in creating their HMDA LAR file. The online version of the LAR Formatting Tool is an enhanced version of the LAR Formatting Tool that is currently available. The online LAR Formatting Tool is intended to help financial institutions, typically those with small volumes of covered loans and applications, to create an electronic file that can be submitted to the HMDA Platform. Filers are able to create their transmittal sheet and LAR rows on the beta website, entering values for each data field, and use this tool to download the full LAR file.</w:t>
            </w:r>
          </w:p>
          <w:p w14:paraId="695AF00B" w14:textId="77777777" w:rsidR="00932744" w:rsidRPr="00932744" w:rsidRDefault="00932744" w:rsidP="00932744">
            <w:pPr>
              <w:rPr>
                <w:rFonts w:cstheme="minorHAnsi"/>
              </w:rPr>
            </w:pPr>
          </w:p>
          <w:p w14:paraId="2A4246BF" w14:textId="77777777" w:rsidR="007E7744" w:rsidRDefault="00932744" w:rsidP="00932744">
            <w:pPr>
              <w:rPr>
                <w:rFonts w:cstheme="minorHAnsi"/>
              </w:rPr>
            </w:pPr>
            <w:r w:rsidRPr="00932744">
              <w:rPr>
                <w:rFonts w:cstheme="minorHAnsi"/>
              </w:rPr>
              <w:t xml:space="preserve">We encourage financial institutions to continue providing feedback on their experience using the HMDA Platform and to direct any questions regarding the HMDA Platform to </w:t>
            </w:r>
            <w:hyperlink r:id="rId24" w:history="1">
              <w:r w:rsidR="00C560CA" w:rsidRPr="00166B59">
                <w:rPr>
                  <w:rStyle w:val="Hyperlink"/>
                  <w:rFonts w:cstheme="minorHAnsi"/>
                </w:rPr>
                <w:t>hmdahelp@cfpb.gov</w:t>
              </w:r>
            </w:hyperlink>
            <w:r w:rsidR="00C560CA">
              <w:rPr>
                <w:rFonts w:cstheme="minorHAnsi"/>
              </w:rPr>
              <w:t xml:space="preserve"> </w:t>
            </w:r>
            <w:r w:rsidRPr="00932744">
              <w:rPr>
                <w:rFonts w:cstheme="minorHAnsi"/>
              </w:rPr>
              <w:t xml:space="preserve">or </w:t>
            </w:r>
            <w:hyperlink r:id="rId25" w:history="1">
              <w:r w:rsidR="00C560CA" w:rsidRPr="00166B59">
                <w:rPr>
                  <w:rStyle w:val="Hyperlink"/>
                  <w:rFonts w:cstheme="minorHAnsi"/>
                </w:rPr>
                <w:t>https://hmdahelp.consumerfinance.gov/</w:t>
              </w:r>
            </w:hyperlink>
            <w:r w:rsidR="00C560CA">
              <w:rPr>
                <w:rFonts w:cstheme="minorHAnsi"/>
              </w:rPr>
              <w:t>.</w:t>
            </w:r>
          </w:p>
          <w:p w14:paraId="7197EA01" w14:textId="77777777" w:rsidR="00C560CA" w:rsidRDefault="00C560CA" w:rsidP="00932744">
            <w:pPr>
              <w:rPr>
                <w:rFonts w:cstheme="minorHAnsi"/>
              </w:rPr>
            </w:pPr>
          </w:p>
          <w:p w14:paraId="62B060C0" w14:textId="77777777" w:rsidR="00C560CA" w:rsidRDefault="00C560CA" w:rsidP="00932744">
            <w:pPr>
              <w:rPr>
                <w:rFonts w:cstheme="minorHAnsi"/>
                <w:b/>
                <w:bCs/>
                <w:i/>
                <w:iCs/>
                <w:color w:val="002060"/>
              </w:rPr>
            </w:pPr>
            <w:r w:rsidRPr="004E0401">
              <w:rPr>
                <w:rFonts w:cstheme="minorHAnsi"/>
                <w:b/>
                <w:bCs/>
                <w:i/>
                <w:iCs/>
                <w:color w:val="002060"/>
              </w:rPr>
              <w:t>Comments:</w:t>
            </w:r>
            <w:r w:rsidR="00A43B1F">
              <w:rPr>
                <w:rFonts w:cstheme="minorHAnsi"/>
                <w:b/>
                <w:bCs/>
                <w:i/>
                <w:iCs/>
                <w:color w:val="002060"/>
              </w:rPr>
              <w:t xml:space="preserve"> D</w:t>
            </w:r>
            <w:r w:rsidR="00A43B1F" w:rsidRPr="00A43B1F">
              <w:rPr>
                <w:rFonts w:cstheme="minorHAnsi"/>
                <w:b/>
                <w:bCs/>
                <w:i/>
                <w:iCs/>
                <w:color w:val="002060"/>
              </w:rPr>
              <w:t xml:space="preserve">ata needs to be perfectly clean and ready for submission by March 1. </w:t>
            </w:r>
          </w:p>
          <w:p w14:paraId="6BAA7D66" w14:textId="67EF4ED6" w:rsidR="00A43B1F" w:rsidRPr="007E7744" w:rsidRDefault="00A43B1F" w:rsidP="00932744">
            <w:pPr>
              <w:rPr>
                <w:rFonts w:cstheme="minorHAnsi"/>
              </w:rPr>
            </w:pPr>
          </w:p>
        </w:tc>
      </w:tr>
      <w:tr w:rsidR="005703E8" w:rsidRPr="001E0B8E" w14:paraId="793B3982" w14:textId="77777777" w:rsidTr="005703E8">
        <w:tc>
          <w:tcPr>
            <w:tcW w:w="978" w:type="dxa"/>
            <w:shd w:val="clear" w:color="auto" w:fill="auto"/>
          </w:tcPr>
          <w:p w14:paraId="3465D381" w14:textId="77777777" w:rsidR="005703E8" w:rsidRPr="001E0B8E" w:rsidRDefault="005703E8" w:rsidP="00EE3D72">
            <w:pPr>
              <w:tabs>
                <w:tab w:val="left" w:pos="500"/>
              </w:tabs>
              <w:rPr>
                <w:color w:val="00B050"/>
              </w:rPr>
            </w:pPr>
          </w:p>
        </w:tc>
        <w:tc>
          <w:tcPr>
            <w:tcW w:w="8372" w:type="dxa"/>
          </w:tcPr>
          <w:p w14:paraId="416FCDE9" w14:textId="77777777" w:rsidR="005703E8" w:rsidRPr="00932744" w:rsidRDefault="005703E8" w:rsidP="00932744">
            <w:pPr>
              <w:rPr>
                <w:rFonts w:cstheme="minorHAnsi"/>
                <w:b/>
                <w:bCs/>
              </w:rPr>
            </w:pPr>
          </w:p>
        </w:tc>
      </w:tr>
      <w:tr w:rsidR="005703E8" w:rsidRPr="001E0B8E" w14:paraId="5509D0DA" w14:textId="77777777" w:rsidTr="00A65700">
        <w:tc>
          <w:tcPr>
            <w:tcW w:w="978" w:type="dxa"/>
            <w:shd w:val="clear" w:color="auto" w:fill="00B050"/>
          </w:tcPr>
          <w:p w14:paraId="4AC89438" w14:textId="77777777" w:rsidR="005703E8" w:rsidRPr="001E0B8E" w:rsidRDefault="005703E8" w:rsidP="00EE3D72">
            <w:pPr>
              <w:tabs>
                <w:tab w:val="left" w:pos="500"/>
              </w:tabs>
              <w:rPr>
                <w:color w:val="00B050"/>
              </w:rPr>
            </w:pPr>
          </w:p>
        </w:tc>
        <w:tc>
          <w:tcPr>
            <w:tcW w:w="8372" w:type="dxa"/>
          </w:tcPr>
          <w:p w14:paraId="72B001A6" w14:textId="3C03F684" w:rsidR="005703E8" w:rsidRPr="005703E8" w:rsidRDefault="005703E8" w:rsidP="005703E8">
            <w:pPr>
              <w:rPr>
                <w:rFonts w:cstheme="minorHAnsi"/>
              </w:rPr>
            </w:pPr>
            <w:r w:rsidRPr="005703E8">
              <w:rPr>
                <w:rFonts w:cstheme="minorHAnsi"/>
                <w:b/>
                <w:bCs/>
              </w:rPr>
              <w:t>FRB</w:t>
            </w:r>
            <w:r w:rsidRPr="005703E8">
              <w:rPr>
                <w:rFonts w:cstheme="minorHAnsi"/>
              </w:rPr>
              <w:t xml:space="preserve"> </w:t>
            </w:r>
            <w:hyperlink r:id="rId26" w:history="1">
              <w:r w:rsidRPr="00221D22">
                <w:rPr>
                  <w:rStyle w:val="Hyperlink"/>
                  <w:rFonts w:cstheme="minorHAnsi"/>
                </w:rPr>
                <w:t>Upcoming Ask the Fed® Regional CRE Series Kicks-off January 19, 2023</w:t>
              </w:r>
            </w:hyperlink>
            <w:r>
              <w:rPr>
                <w:rFonts w:cstheme="minorHAnsi"/>
              </w:rPr>
              <w:t xml:space="preserve"> (01/04/2023) - </w:t>
            </w:r>
            <w:r w:rsidRPr="005703E8">
              <w:rPr>
                <w:rFonts w:cstheme="minorHAnsi"/>
              </w:rPr>
              <w:t>Based on your feedback, we are bringing back our Ask the Fed® regional series on CRE.</w:t>
            </w:r>
          </w:p>
          <w:p w14:paraId="653C2321" w14:textId="0AA60227" w:rsidR="005703E8" w:rsidRDefault="005703E8" w:rsidP="005703E8">
            <w:pPr>
              <w:rPr>
                <w:rFonts w:cstheme="minorHAnsi"/>
              </w:rPr>
            </w:pPr>
            <w:r w:rsidRPr="005703E8">
              <w:rPr>
                <w:rFonts w:cstheme="minorHAnsi"/>
              </w:rPr>
              <w:lastRenderedPageBreak/>
              <w:t>U.S. economic and CRE market conditions have begun to adjust to the changing policy environment. Will these changes lead to a sizeable deterioration in CRE asset values? Will economic conditions decelerate? Will these changing conditions lead to greater lending opportunities, or to explosive growth?</w:t>
            </w:r>
          </w:p>
          <w:p w14:paraId="1DAD36A9" w14:textId="77777777" w:rsidR="005703E8" w:rsidRPr="005703E8" w:rsidRDefault="005703E8" w:rsidP="005703E8">
            <w:pPr>
              <w:rPr>
                <w:rFonts w:cstheme="minorHAnsi"/>
              </w:rPr>
            </w:pPr>
          </w:p>
          <w:p w14:paraId="4F1CA37F" w14:textId="77777777" w:rsidR="005703E8" w:rsidRPr="005703E8" w:rsidRDefault="005703E8" w:rsidP="005703E8">
            <w:pPr>
              <w:rPr>
                <w:rFonts w:cstheme="minorHAnsi"/>
              </w:rPr>
            </w:pPr>
            <w:r w:rsidRPr="005703E8">
              <w:rPr>
                <w:rFonts w:cstheme="minorHAnsi"/>
              </w:rPr>
              <w:t>The first session in this series will be held on Thursday, January 19, 2023, “live” from the offices of the Washington State Department of Financial Institutions in Tumwater, Wash. Subject Matter Expert &amp; Senior Policy Advisor, Brian Bailey, CCIM, CRE, from the Federal Reserve Bank of Atlanta, will discuss trends and emerging risks in the CRE and CRE finance industries in the Pacific Region of the United States (see map below). Regional sessions focused on CRE in the Mountain, Midwest, Northeast, South Central and Southern regions of the US will be held at a future date.</w:t>
            </w:r>
          </w:p>
          <w:p w14:paraId="18B9184E" w14:textId="77777777" w:rsidR="005703E8" w:rsidRPr="005703E8" w:rsidRDefault="005703E8" w:rsidP="005703E8">
            <w:pPr>
              <w:rPr>
                <w:rFonts w:cstheme="minorHAnsi"/>
              </w:rPr>
            </w:pPr>
            <w:r w:rsidRPr="005703E8">
              <w:rPr>
                <w:rFonts w:cstheme="minorHAnsi"/>
              </w:rPr>
              <w:t xml:space="preserve"> </w:t>
            </w:r>
          </w:p>
          <w:p w14:paraId="3A7CA8B1" w14:textId="77777777" w:rsidR="005703E8" w:rsidRDefault="005703E8" w:rsidP="005703E8">
            <w:pPr>
              <w:rPr>
                <w:rFonts w:cstheme="minorHAnsi"/>
              </w:rPr>
            </w:pPr>
            <w:r w:rsidRPr="005703E8">
              <w:rPr>
                <w:rFonts w:cstheme="minorHAnsi"/>
              </w:rPr>
              <w:t xml:space="preserve">Registration is now open at www.askthefed.org. As always, we are interested in your questions. You can email your questions in advance of each session at </w:t>
            </w:r>
            <w:hyperlink r:id="rId27" w:history="1">
              <w:r w:rsidRPr="00166B59">
                <w:rPr>
                  <w:rStyle w:val="Hyperlink"/>
                  <w:rFonts w:cstheme="minorHAnsi"/>
                </w:rPr>
                <w:t>questions@askthefed.org</w:t>
              </w:r>
            </w:hyperlink>
            <w:r>
              <w:rPr>
                <w:rFonts w:cstheme="minorHAnsi"/>
              </w:rPr>
              <w:t>.</w:t>
            </w:r>
            <w:r w:rsidRPr="005703E8">
              <w:rPr>
                <w:rFonts w:cstheme="minorHAnsi"/>
              </w:rPr>
              <w:t xml:space="preserve"> We'll take questions during each session as well, but questions received in advance will receive priority. We strongly encourage participants to use the webinar audio on their computer for the best webinar experience. Session materials will be archived for future viewing.</w:t>
            </w:r>
          </w:p>
          <w:p w14:paraId="191E2611" w14:textId="77777777" w:rsidR="005703E8" w:rsidRDefault="005703E8" w:rsidP="005703E8">
            <w:pPr>
              <w:rPr>
                <w:rFonts w:cstheme="minorHAnsi"/>
              </w:rPr>
            </w:pPr>
          </w:p>
          <w:p w14:paraId="50A11220" w14:textId="77777777" w:rsidR="005703E8" w:rsidRDefault="005703E8" w:rsidP="005703E8">
            <w:pPr>
              <w:rPr>
                <w:rFonts w:cstheme="minorHAnsi"/>
                <w:b/>
                <w:bCs/>
                <w:i/>
                <w:iCs/>
                <w:color w:val="002060"/>
              </w:rPr>
            </w:pPr>
            <w:r w:rsidRPr="004E0401">
              <w:rPr>
                <w:rFonts w:cstheme="minorHAnsi"/>
                <w:b/>
                <w:bCs/>
                <w:i/>
                <w:iCs/>
                <w:color w:val="002060"/>
              </w:rPr>
              <w:t>Comments:</w:t>
            </w:r>
            <w:r w:rsidR="00220272">
              <w:rPr>
                <w:rFonts w:cstheme="minorHAnsi"/>
                <w:b/>
                <w:bCs/>
                <w:i/>
                <w:iCs/>
                <w:color w:val="002060"/>
              </w:rPr>
              <w:t xml:space="preserve"> While this first regional session is focused on the Pacific Northwest, the fallout from the pandemic showed how closely regions across the country are inextricable connected.  </w:t>
            </w:r>
          </w:p>
          <w:p w14:paraId="0BEB1824" w14:textId="2FDD1CA7" w:rsidR="00220272" w:rsidRPr="005703E8" w:rsidRDefault="00220272" w:rsidP="005703E8">
            <w:pPr>
              <w:rPr>
                <w:rFonts w:cstheme="minorHAnsi"/>
              </w:rPr>
            </w:pPr>
          </w:p>
        </w:tc>
      </w:tr>
    </w:tbl>
    <w:p w14:paraId="56869681" w14:textId="0448C788" w:rsidR="00AC1F42" w:rsidRPr="001E0B8E" w:rsidRDefault="00AC1F42">
      <w:pPr>
        <w:rPr>
          <w:rFonts w:ascii="Verdana" w:hAnsi="Verdana"/>
          <w:b/>
          <w:bCs/>
        </w:rPr>
      </w:pPr>
    </w:p>
    <w:p w14:paraId="07F698CF" w14:textId="4F60F86B" w:rsidR="000015D0" w:rsidRPr="001E0B8E" w:rsidRDefault="000015D0">
      <w:pPr>
        <w:rPr>
          <w:rFonts w:ascii="Verdana" w:hAnsi="Verdana"/>
          <w:b/>
          <w:bCs/>
        </w:rPr>
      </w:pPr>
      <w:r w:rsidRPr="001E0B8E">
        <w:rPr>
          <w:rFonts w:ascii="Verdana" w:hAnsi="Verdana"/>
          <w:b/>
          <w:bCs/>
        </w:rPr>
        <w:t>Technology</w:t>
      </w:r>
      <w:r w:rsidR="00FE2C94" w:rsidRPr="001E0B8E">
        <w:rPr>
          <w:rFonts w:ascii="Verdana" w:hAnsi="Verdana"/>
          <w:b/>
          <w:bCs/>
        </w:rPr>
        <w:t xml:space="preserve"> / Security </w:t>
      </w:r>
    </w:p>
    <w:tbl>
      <w:tblPr>
        <w:tblStyle w:val="TableGrid"/>
        <w:tblW w:w="0" w:type="auto"/>
        <w:tblLook w:val="04A0" w:firstRow="1" w:lastRow="0" w:firstColumn="1" w:lastColumn="0" w:noHBand="0" w:noVBand="1"/>
      </w:tblPr>
      <w:tblGrid>
        <w:gridCol w:w="985"/>
        <w:gridCol w:w="8365"/>
      </w:tblGrid>
      <w:tr w:rsidR="009F0CD7" w:rsidRPr="001E0B8E" w14:paraId="29E84FF2" w14:textId="77777777" w:rsidTr="00971DC0">
        <w:tc>
          <w:tcPr>
            <w:tcW w:w="985" w:type="dxa"/>
            <w:shd w:val="clear" w:color="auto" w:fill="FFFF00"/>
          </w:tcPr>
          <w:p w14:paraId="3A727E55" w14:textId="77777777" w:rsidR="009F0CD7" w:rsidRPr="00E00EE3" w:rsidRDefault="009F0CD7" w:rsidP="00E73F7F">
            <w:pPr>
              <w:tabs>
                <w:tab w:val="left" w:pos="480"/>
              </w:tabs>
            </w:pPr>
          </w:p>
        </w:tc>
        <w:tc>
          <w:tcPr>
            <w:tcW w:w="8365" w:type="dxa"/>
          </w:tcPr>
          <w:p w14:paraId="55654A82" w14:textId="75847978" w:rsidR="00E00EE3" w:rsidRPr="00E00EE3" w:rsidRDefault="00E00EE3" w:rsidP="00EF1C9A">
            <w:pPr>
              <w:rPr>
                <w:rFonts w:cstheme="minorHAnsi"/>
                <w:b/>
                <w:bCs/>
              </w:rPr>
            </w:pPr>
          </w:p>
        </w:tc>
      </w:tr>
    </w:tbl>
    <w:p w14:paraId="553C2D7C" w14:textId="00A9CDBC" w:rsidR="000015D0" w:rsidRPr="001E0B8E" w:rsidRDefault="000015D0" w:rsidP="00E73F7F">
      <w:pPr>
        <w:spacing w:after="0" w:line="240" w:lineRule="auto"/>
        <w:rPr>
          <w:rFonts w:ascii="Verdana" w:hAnsi="Verdana"/>
          <w:b/>
          <w:bCs/>
        </w:rPr>
      </w:pPr>
    </w:p>
    <w:p w14:paraId="4807BD9A" w14:textId="77777777" w:rsidR="00DE3A81" w:rsidRPr="001E0B8E" w:rsidRDefault="00DE3A81" w:rsidP="00DE3A81">
      <w:pPr>
        <w:rPr>
          <w:rFonts w:ascii="Verdana" w:hAnsi="Verdana"/>
          <w:b/>
          <w:bCs/>
          <w:color w:val="4472C4" w:themeColor="accent1"/>
          <w:sz w:val="28"/>
          <w:szCs w:val="28"/>
        </w:rPr>
      </w:pPr>
      <w:r w:rsidRPr="001E0B8E">
        <w:rPr>
          <w:rFonts w:ascii="Verdana" w:hAnsi="Verdana"/>
          <w:b/>
          <w:bCs/>
          <w:color w:val="4472C4" w:themeColor="accent1"/>
          <w:sz w:val="28"/>
          <w:szCs w:val="28"/>
        </w:rPr>
        <w:t xml:space="preserve">Selected federal rules – proposed </w:t>
      </w:r>
    </w:p>
    <w:p w14:paraId="6C0194C2" w14:textId="17D4466A" w:rsidR="00DE3A81" w:rsidRPr="001E0B8E" w:rsidRDefault="00DE3A81" w:rsidP="00DE3A81">
      <w:r w:rsidRPr="001E0B8E">
        <w:t>Proposed rules are included only when community banks may want to comment. Date posted may not be the same as the Federal Register Date</w:t>
      </w:r>
      <w:r w:rsidR="000B1F54" w:rsidRPr="001E0B8E">
        <w:t xml:space="preserve">. </w:t>
      </w:r>
    </w:p>
    <w:p w14:paraId="772E74AD" w14:textId="42F23F26" w:rsidR="009E6D74" w:rsidRPr="001E0B8E" w:rsidRDefault="009E6D74" w:rsidP="009E6D74">
      <w:pPr>
        <w:rPr>
          <w:b/>
          <w:bCs/>
        </w:rPr>
      </w:pPr>
      <w:r w:rsidRPr="001E0B8E">
        <w:rPr>
          <w:b/>
          <w:bCs/>
        </w:rPr>
        <w:t>PROPOSED RULE WITH REQUEST FOR PUBLIC COMMENT</w:t>
      </w:r>
    </w:p>
    <w:p w14:paraId="30F6CC86" w14:textId="66A72551" w:rsidR="00C96525" w:rsidRDefault="00713BC1" w:rsidP="00C96525">
      <w:pPr>
        <w:spacing w:after="0" w:line="240" w:lineRule="auto"/>
        <w:rPr>
          <w:rFonts w:ascii="Calibri" w:eastAsia="Calibri" w:hAnsi="Calibri" w:cs="Times New Roman"/>
          <w:b/>
          <w:bCs/>
        </w:rPr>
      </w:pPr>
      <w:r w:rsidRPr="0016568C">
        <w:rPr>
          <w:rFonts w:ascii="Calibri" w:eastAsia="Calibri" w:hAnsi="Calibri" w:cs="Times New Roman"/>
          <w:b/>
          <w:bCs/>
        </w:rPr>
        <w:t>11.07.2022</w:t>
      </w:r>
      <w:r w:rsidRPr="00713BC1">
        <w:rPr>
          <w:rFonts w:ascii="Calibri" w:eastAsia="Calibri" w:hAnsi="Calibri" w:cs="Times New Roman"/>
        </w:rPr>
        <w:t xml:space="preserve"> </w:t>
      </w:r>
      <w:r w:rsidRPr="0016568C">
        <w:rPr>
          <w:rFonts w:ascii="Calibri" w:eastAsia="Calibri" w:hAnsi="Calibri" w:cs="Times New Roman"/>
          <w:b/>
          <w:bCs/>
        </w:rPr>
        <w:t>FRB</w:t>
      </w:r>
      <w:r>
        <w:rPr>
          <w:rFonts w:ascii="Calibri" w:eastAsia="Calibri" w:hAnsi="Calibri" w:cs="Times New Roman"/>
        </w:rPr>
        <w:t xml:space="preserve"> </w:t>
      </w:r>
      <w:hyperlink r:id="rId28" w:history="1">
        <w:r w:rsidRPr="0016568C">
          <w:rPr>
            <w:rStyle w:val="Hyperlink"/>
            <w:rFonts w:ascii="Calibri" w:eastAsia="Calibri" w:hAnsi="Calibri" w:cs="Times New Roman"/>
          </w:rPr>
          <w:t>Guidelines for Evaluating Account and Services Requests</w:t>
        </w:r>
      </w:hyperlink>
      <w:r w:rsidRPr="00713BC1">
        <w:rPr>
          <w:rFonts w:ascii="Calibri" w:eastAsia="Calibri" w:hAnsi="Calibri" w:cs="Times New Roman"/>
        </w:rPr>
        <w:t xml:space="preserve"> </w:t>
      </w:r>
      <w:r w:rsidR="0016568C">
        <w:rPr>
          <w:rFonts w:ascii="Calibri" w:eastAsia="Calibri" w:hAnsi="Calibri" w:cs="Times New Roman"/>
        </w:rPr>
        <w:t xml:space="preserve">- </w:t>
      </w:r>
      <w:r w:rsidRPr="00713BC1">
        <w:rPr>
          <w:rFonts w:ascii="Calibri" w:eastAsia="Calibri" w:hAnsi="Calibri" w:cs="Times New Roman"/>
        </w:rPr>
        <w:t xml:space="preserve">The Board of Governors of the Federal Reserve System (Board) is issuing a request for comment on proposed amendments to its Guidelines for Evaluating Account and Services Requests (Account Access Guidelines or Guidelines) that would require the Federal Reserve Banks (Reserve Banks) to publish a periodic list of depository institutions with access to Reserve Bank accounts and/or financial services. </w:t>
      </w:r>
      <w:r w:rsidR="001F38DA">
        <w:rPr>
          <w:rFonts w:ascii="Calibri" w:eastAsia="Calibri" w:hAnsi="Calibri" w:cs="Times New Roman"/>
        </w:rPr>
        <w:t xml:space="preserve"> </w:t>
      </w:r>
      <w:r w:rsidRPr="0016568C">
        <w:rPr>
          <w:rFonts w:ascii="Calibri" w:eastAsia="Calibri" w:hAnsi="Calibri" w:cs="Times New Roman"/>
          <w:b/>
          <w:bCs/>
        </w:rPr>
        <w:t xml:space="preserve">DATE:  </w:t>
      </w:r>
      <w:r w:rsidR="00C96525" w:rsidRPr="00C96525">
        <w:rPr>
          <w:rFonts w:ascii="Calibri" w:eastAsia="Calibri" w:hAnsi="Calibri" w:cs="Times New Roman"/>
          <w:b/>
          <w:bCs/>
        </w:rPr>
        <w:t xml:space="preserve">Comments must be received on or before January 17, 2023. </w:t>
      </w:r>
    </w:p>
    <w:p w14:paraId="354F7CF4" w14:textId="45795F07" w:rsidR="004F4EF2" w:rsidRDefault="004F4EF2" w:rsidP="00C96525">
      <w:pPr>
        <w:spacing w:after="0" w:line="240" w:lineRule="auto"/>
        <w:rPr>
          <w:rFonts w:ascii="Calibri" w:eastAsia="Calibri" w:hAnsi="Calibri" w:cs="Times New Roman"/>
          <w:b/>
          <w:bCs/>
        </w:rPr>
      </w:pPr>
    </w:p>
    <w:p w14:paraId="0758EAAD" w14:textId="77777777" w:rsidR="004F4EF2" w:rsidRPr="004F4EF2" w:rsidRDefault="004F4EF2" w:rsidP="004F4EF2">
      <w:pPr>
        <w:spacing w:after="0" w:line="240" w:lineRule="auto"/>
        <w:rPr>
          <w:rFonts w:ascii="Calibri" w:eastAsia="Calibri" w:hAnsi="Calibri" w:cs="Times New Roman"/>
        </w:rPr>
      </w:pPr>
      <w:r w:rsidRPr="004F4EF2">
        <w:rPr>
          <w:rFonts w:ascii="Calibri" w:eastAsia="Calibri" w:hAnsi="Calibri" w:cs="Times New Roman"/>
          <w:b/>
          <w:bCs/>
        </w:rPr>
        <w:t xml:space="preserve">12.16.2022 FinCEN </w:t>
      </w:r>
      <w:hyperlink r:id="rId29" w:history="1">
        <w:r w:rsidRPr="004F4EF2">
          <w:rPr>
            <w:rFonts w:ascii="Calibri" w:eastAsia="Calibri" w:hAnsi="Calibri" w:cs="Times New Roman"/>
            <w:b/>
            <w:bCs/>
            <w:color w:val="0563C1"/>
            <w:u w:val="single"/>
          </w:rPr>
          <w:t>Beneficial Ownership Information Access and Safeguards, and Use of FinCEN Identifiers for Entities</w:t>
        </w:r>
      </w:hyperlink>
      <w:r w:rsidRPr="004F4EF2">
        <w:rPr>
          <w:rFonts w:ascii="Calibri" w:eastAsia="Calibri" w:hAnsi="Calibri" w:cs="Times New Roman"/>
          <w:b/>
          <w:bCs/>
        </w:rPr>
        <w:t xml:space="preserve"> </w:t>
      </w:r>
      <w:r w:rsidRPr="004F4EF2">
        <w:rPr>
          <w:rFonts w:ascii="Calibri" w:eastAsia="Calibri" w:hAnsi="Calibri" w:cs="Times New Roman"/>
        </w:rPr>
        <w:t xml:space="preserve">FinCEN is promulgating proposed regulations regarding access by authorized recipients to beneficial ownership information (BOI) that will be reported to FinCEN pursuant to Section 6403 of the Corporate Transparency Act (CTA), enacted into law as part of the Anti-Money Laundering Act of 2020 (AML Act), which is itself part of the National Defense Authorization Act for Fiscal Year 2021 </w:t>
      </w:r>
      <w:r w:rsidRPr="004F4EF2">
        <w:rPr>
          <w:rFonts w:ascii="Calibri" w:eastAsia="Calibri" w:hAnsi="Calibri" w:cs="Times New Roman"/>
        </w:rPr>
        <w:lastRenderedPageBreak/>
        <w:t xml:space="preserve">(NDAA). The proposed regulations would implement the strict protocols on security and confidentiality required by the CTA to protect sensitive personally identifiable information (PII) reported to FinCEN. The NPRM explains the circumstances in which specified recipients would have access to BOI and outlines data protection protocols and oversight mechanisms applicable to each recipient category. The disclosure of BOI to authorized recipients in accordance with appropriate protocols and oversight will help law enforcement and national security agencies prevent and combat money laundering, terrorist financing, tax fraud, and other illicit activity, as well as protect national security. FinCEN is also proposing regulations to specify when and how reporting companies can use FinCEN identifiers to report the BOI of entities. </w:t>
      </w:r>
      <w:r w:rsidRPr="004F4EF2">
        <w:rPr>
          <w:rFonts w:ascii="Calibri" w:eastAsia="Calibri" w:hAnsi="Calibri" w:cs="Times New Roman"/>
          <w:b/>
          <w:bCs/>
        </w:rPr>
        <w:t>DATES:  Written comments on this proposed rule may be submitted on or before February 14, 2023.</w:t>
      </w:r>
    </w:p>
    <w:p w14:paraId="5C3F66D5" w14:textId="77777777" w:rsidR="004F4EF2" w:rsidRPr="00C96525" w:rsidRDefault="004F4EF2" w:rsidP="00C96525">
      <w:pPr>
        <w:spacing w:after="0" w:line="240" w:lineRule="auto"/>
        <w:rPr>
          <w:rFonts w:ascii="Calibri" w:eastAsia="Calibri" w:hAnsi="Calibri" w:cs="Times New Roman"/>
          <w:b/>
          <w:bCs/>
        </w:rPr>
      </w:pPr>
    </w:p>
    <w:p w14:paraId="07110581" w14:textId="5DAAA73B" w:rsidR="00C96525" w:rsidRPr="00A43B1F" w:rsidRDefault="00A43B1F" w:rsidP="00C96525">
      <w:pPr>
        <w:spacing w:after="0" w:line="240" w:lineRule="auto"/>
        <w:rPr>
          <w:rFonts w:ascii="Calibri" w:eastAsia="Calibri" w:hAnsi="Calibri" w:cs="Times New Roman"/>
        </w:rPr>
      </w:pPr>
      <w:r>
        <w:rPr>
          <w:rFonts w:ascii="Calibri" w:eastAsia="Calibri" w:hAnsi="Calibri" w:cs="Times New Roman"/>
          <w:b/>
          <w:bCs/>
        </w:rPr>
        <w:t xml:space="preserve">01.05.2023 </w:t>
      </w:r>
      <w:hyperlink r:id="rId30" w:history="1">
        <w:r w:rsidRPr="00A43B1F">
          <w:rPr>
            <w:rStyle w:val="Hyperlink"/>
            <w:rFonts w:ascii="Calibri" w:eastAsia="Calibri" w:hAnsi="Calibri" w:cs="Times New Roman"/>
            <w:b/>
            <w:bCs/>
          </w:rPr>
          <w:t>FTC Non-Compete Clause Rulemaking</w:t>
        </w:r>
      </w:hyperlink>
      <w:r>
        <w:rPr>
          <w:rFonts w:ascii="Calibri" w:eastAsia="Calibri" w:hAnsi="Calibri" w:cs="Times New Roman"/>
          <w:b/>
          <w:bCs/>
        </w:rPr>
        <w:t xml:space="preserve"> </w:t>
      </w:r>
      <w:r w:rsidRPr="00A43B1F">
        <w:rPr>
          <w:rFonts w:ascii="Calibri" w:eastAsia="Calibri" w:hAnsi="Calibri" w:cs="Times New Roman"/>
        </w:rPr>
        <w:t>About one in five American workers—approximately 30 million people—are bound by a non-compete clause and are thus restricted from pursuing better employment opportunities. A non-compete clause is a contractual term between an employer and a worker that blocks the worker from working for a competing employer, or starting a competing business, typically within a certain geographic area and period of time after the worker’s employment ends. Because non-compete clauses prevent workers from leaving jobs and decrease competition for workers, they lower wages for both workers who are subject to them as well as workers who are not. Non-compete clauses also prevent new businesses from forming, stifling entrepreneurship, and prevent novel innovation which would otherwise occur when workers are able to broadly share their ideas.  The Federal Trade Commission proposes preventing employers from entering into non-compete clauses with workers and requiring employers to rescind existing non-compete clauses. The Commission estimates that the proposed rule would increase American workers’ earnings between $250 billion and $296 billion per year. The Commission is asking for the public’s opinion on its proposal to declare that non-compete clauses are an unfair method of competition, and on the possible alternatives to this rule that the Commission has proposed.</w:t>
      </w:r>
      <w:r>
        <w:rPr>
          <w:rFonts w:ascii="Calibri" w:eastAsia="Calibri" w:hAnsi="Calibri" w:cs="Times New Roman"/>
        </w:rPr>
        <w:t xml:space="preserve"> </w:t>
      </w:r>
      <w:r w:rsidRPr="00A43B1F">
        <w:rPr>
          <w:rFonts w:ascii="Calibri" w:eastAsia="Calibri" w:hAnsi="Calibri" w:cs="Times New Roman"/>
          <w:b/>
          <w:bCs/>
        </w:rPr>
        <w:t>Comments will be due 60 days after the Federal Register publishes the proposed rule. The public comment period will be open soon.</w:t>
      </w:r>
    </w:p>
    <w:sectPr w:rsidR="00C96525" w:rsidRPr="00A43B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3D35" w14:textId="77777777" w:rsidR="0008437A" w:rsidRDefault="0008437A" w:rsidP="00AB76E8">
      <w:pPr>
        <w:spacing w:after="0" w:line="240" w:lineRule="auto"/>
      </w:pPr>
      <w:r>
        <w:separator/>
      </w:r>
    </w:p>
  </w:endnote>
  <w:endnote w:type="continuationSeparator" w:id="0">
    <w:p w14:paraId="02BBE3DD" w14:textId="77777777" w:rsidR="0008437A" w:rsidRDefault="0008437A" w:rsidP="00AB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E6BC" w14:textId="77777777" w:rsidR="0008437A" w:rsidRDefault="0008437A" w:rsidP="00AB76E8">
      <w:pPr>
        <w:spacing w:after="0" w:line="240" w:lineRule="auto"/>
      </w:pPr>
      <w:r>
        <w:separator/>
      </w:r>
    </w:p>
  </w:footnote>
  <w:footnote w:type="continuationSeparator" w:id="0">
    <w:p w14:paraId="56CC12A2" w14:textId="77777777" w:rsidR="0008437A" w:rsidRDefault="0008437A" w:rsidP="00AB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CCFD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125A0"/>
    <w:multiLevelType w:val="hybridMultilevel"/>
    <w:tmpl w:val="51F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188D"/>
    <w:multiLevelType w:val="hybridMultilevel"/>
    <w:tmpl w:val="69EA8D8A"/>
    <w:lvl w:ilvl="0" w:tplc="07A0F63E">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06A359B7"/>
    <w:multiLevelType w:val="hybridMultilevel"/>
    <w:tmpl w:val="0292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715FE"/>
    <w:multiLevelType w:val="hybridMultilevel"/>
    <w:tmpl w:val="A6EE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1CB7"/>
    <w:multiLevelType w:val="hybridMultilevel"/>
    <w:tmpl w:val="796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63935"/>
    <w:multiLevelType w:val="hybridMultilevel"/>
    <w:tmpl w:val="DBF0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F01DB"/>
    <w:multiLevelType w:val="hybridMultilevel"/>
    <w:tmpl w:val="E2E626A4"/>
    <w:lvl w:ilvl="0" w:tplc="D90893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B484B"/>
    <w:multiLevelType w:val="hybridMultilevel"/>
    <w:tmpl w:val="6494FA3A"/>
    <w:lvl w:ilvl="0" w:tplc="4A784C3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121F6D37"/>
    <w:multiLevelType w:val="hybridMultilevel"/>
    <w:tmpl w:val="12AE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06338"/>
    <w:multiLevelType w:val="hybridMultilevel"/>
    <w:tmpl w:val="29F6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56B41"/>
    <w:multiLevelType w:val="hybridMultilevel"/>
    <w:tmpl w:val="D1F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76DF5"/>
    <w:multiLevelType w:val="hybridMultilevel"/>
    <w:tmpl w:val="1EE0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C7530"/>
    <w:multiLevelType w:val="hybridMultilevel"/>
    <w:tmpl w:val="3E1E6D26"/>
    <w:lvl w:ilvl="0" w:tplc="6BD676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63BE5"/>
    <w:multiLevelType w:val="hybridMultilevel"/>
    <w:tmpl w:val="DD56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019D1"/>
    <w:multiLevelType w:val="hybridMultilevel"/>
    <w:tmpl w:val="36F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F5A58"/>
    <w:multiLevelType w:val="hybridMultilevel"/>
    <w:tmpl w:val="7874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F0689"/>
    <w:multiLevelType w:val="hybridMultilevel"/>
    <w:tmpl w:val="E89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07EBB"/>
    <w:multiLevelType w:val="multilevel"/>
    <w:tmpl w:val="5D0E5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A166F"/>
    <w:multiLevelType w:val="hybridMultilevel"/>
    <w:tmpl w:val="C03C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D168E"/>
    <w:multiLevelType w:val="hybridMultilevel"/>
    <w:tmpl w:val="011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8520E"/>
    <w:multiLevelType w:val="hybridMultilevel"/>
    <w:tmpl w:val="4F0C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17FCC"/>
    <w:multiLevelType w:val="hybridMultilevel"/>
    <w:tmpl w:val="FF78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47492"/>
    <w:multiLevelType w:val="hybridMultilevel"/>
    <w:tmpl w:val="B7C694F2"/>
    <w:lvl w:ilvl="0" w:tplc="16E0E7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10503"/>
    <w:multiLevelType w:val="hybridMultilevel"/>
    <w:tmpl w:val="095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B6CA2"/>
    <w:multiLevelType w:val="hybridMultilevel"/>
    <w:tmpl w:val="A992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A02E7"/>
    <w:multiLevelType w:val="hybridMultilevel"/>
    <w:tmpl w:val="FF5A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54717"/>
    <w:multiLevelType w:val="hybridMultilevel"/>
    <w:tmpl w:val="FE84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E0A76"/>
    <w:multiLevelType w:val="hybridMultilevel"/>
    <w:tmpl w:val="1404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84DCA"/>
    <w:multiLevelType w:val="multilevel"/>
    <w:tmpl w:val="F0661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F2F8B"/>
    <w:multiLevelType w:val="hybridMultilevel"/>
    <w:tmpl w:val="42D66FD4"/>
    <w:lvl w:ilvl="0" w:tplc="16E0E7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C4FA6"/>
    <w:multiLevelType w:val="hybridMultilevel"/>
    <w:tmpl w:val="8F68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14C29"/>
    <w:multiLevelType w:val="hybridMultilevel"/>
    <w:tmpl w:val="202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A25AF"/>
    <w:multiLevelType w:val="hybridMultilevel"/>
    <w:tmpl w:val="D926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D4044"/>
    <w:multiLevelType w:val="hybridMultilevel"/>
    <w:tmpl w:val="E6DAF492"/>
    <w:lvl w:ilvl="0" w:tplc="C51AFA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0679C"/>
    <w:multiLevelType w:val="hybridMultilevel"/>
    <w:tmpl w:val="24B6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C23AF"/>
    <w:multiLevelType w:val="hybridMultilevel"/>
    <w:tmpl w:val="78B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55E0F"/>
    <w:multiLevelType w:val="hybridMultilevel"/>
    <w:tmpl w:val="64A8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30E1B"/>
    <w:multiLevelType w:val="hybridMultilevel"/>
    <w:tmpl w:val="AF78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C0CFA"/>
    <w:multiLevelType w:val="hybridMultilevel"/>
    <w:tmpl w:val="F134043A"/>
    <w:lvl w:ilvl="0" w:tplc="AD66A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85017"/>
    <w:multiLevelType w:val="hybridMultilevel"/>
    <w:tmpl w:val="A7D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86DEE"/>
    <w:multiLevelType w:val="hybridMultilevel"/>
    <w:tmpl w:val="12C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672C0"/>
    <w:multiLevelType w:val="hybridMultilevel"/>
    <w:tmpl w:val="F1B6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C752A"/>
    <w:multiLevelType w:val="hybridMultilevel"/>
    <w:tmpl w:val="372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A5CDA"/>
    <w:multiLevelType w:val="hybridMultilevel"/>
    <w:tmpl w:val="AA5405DC"/>
    <w:lvl w:ilvl="0" w:tplc="6BD676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863609">
    <w:abstractNumId w:val="0"/>
  </w:num>
  <w:num w:numId="2" w16cid:durableId="154299158">
    <w:abstractNumId w:val="41"/>
  </w:num>
  <w:num w:numId="3" w16cid:durableId="1033188457">
    <w:abstractNumId w:val="26"/>
  </w:num>
  <w:num w:numId="4" w16cid:durableId="146364320">
    <w:abstractNumId w:val="24"/>
  </w:num>
  <w:num w:numId="5" w16cid:durableId="1344162106">
    <w:abstractNumId w:val="4"/>
  </w:num>
  <w:num w:numId="6" w16cid:durableId="483621204">
    <w:abstractNumId w:val="34"/>
  </w:num>
  <w:num w:numId="7" w16cid:durableId="603734935">
    <w:abstractNumId w:val="15"/>
  </w:num>
  <w:num w:numId="8" w16cid:durableId="1234198324">
    <w:abstractNumId w:val="12"/>
  </w:num>
  <w:num w:numId="9" w16cid:durableId="1769235601">
    <w:abstractNumId w:val="7"/>
  </w:num>
  <w:num w:numId="10" w16cid:durableId="11685787">
    <w:abstractNumId w:val="17"/>
  </w:num>
  <w:num w:numId="11" w16cid:durableId="2005620388">
    <w:abstractNumId w:val="23"/>
  </w:num>
  <w:num w:numId="12" w16cid:durableId="1858151858">
    <w:abstractNumId w:val="30"/>
  </w:num>
  <w:num w:numId="13" w16cid:durableId="1352608857">
    <w:abstractNumId w:val="3"/>
  </w:num>
  <w:num w:numId="14" w16cid:durableId="1940941564">
    <w:abstractNumId w:val="11"/>
  </w:num>
  <w:num w:numId="15" w16cid:durableId="2037195609">
    <w:abstractNumId w:val="21"/>
  </w:num>
  <w:num w:numId="16" w16cid:durableId="1122456834">
    <w:abstractNumId w:val="40"/>
  </w:num>
  <w:num w:numId="17" w16cid:durableId="1208108947">
    <w:abstractNumId w:val="5"/>
  </w:num>
  <w:num w:numId="18" w16cid:durableId="263848325">
    <w:abstractNumId w:val="42"/>
  </w:num>
  <w:num w:numId="19" w16cid:durableId="855733444">
    <w:abstractNumId w:val="39"/>
  </w:num>
  <w:num w:numId="20" w16cid:durableId="721909019">
    <w:abstractNumId w:val="36"/>
  </w:num>
  <w:num w:numId="21" w16cid:durableId="342821171">
    <w:abstractNumId w:val="10"/>
  </w:num>
  <w:num w:numId="22" w16cid:durableId="858591704">
    <w:abstractNumId w:val="22"/>
  </w:num>
  <w:num w:numId="23" w16cid:durableId="1395665504">
    <w:abstractNumId w:val="32"/>
  </w:num>
  <w:num w:numId="24" w16cid:durableId="101850790">
    <w:abstractNumId w:val="6"/>
  </w:num>
  <w:num w:numId="25" w16cid:durableId="2122338993">
    <w:abstractNumId w:val="14"/>
  </w:num>
  <w:num w:numId="26" w16cid:durableId="1581404804">
    <w:abstractNumId w:val="37"/>
  </w:num>
  <w:num w:numId="27" w16cid:durableId="768164902">
    <w:abstractNumId w:val="16"/>
  </w:num>
  <w:num w:numId="28" w16cid:durableId="2069302439">
    <w:abstractNumId w:val="9"/>
  </w:num>
  <w:num w:numId="29" w16cid:durableId="1307315739">
    <w:abstractNumId w:val="31"/>
  </w:num>
  <w:num w:numId="30" w16cid:durableId="601227548">
    <w:abstractNumId w:val="20"/>
  </w:num>
  <w:num w:numId="31" w16cid:durableId="864296627">
    <w:abstractNumId w:val="43"/>
  </w:num>
  <w:num w:numId="32" w16cid:durableId="735207726">
    <w:abstractNumId w:val="35"/>
  </w:num>
  <w:num w:numId="33" w16cid:durableId="75981758">
    <w:abstractNumId w:val="29"/>
  </w:num>
  <w:num w:numId="34" w16cid:durableId="1670981520">
    <w:abstractNumId w:val="38"/>
  </w:num>
  <w:num w:numId="35" w16cid:durableId="147746418">
    <w:abstractNumId w:val="25"/>
  </w:num>
  <w:num w:numId="36" w16cid:durableId="1395542126">
    <w:abstractNumId w:val="33"/>
  </w:num>
  <w:num w:numId="37" w16cid:durableId="768965621">
    <w:abstractNumId w:val="13"/>
  </w:num>
  <w:num w:numId="38" w16cid:durableId="513881454">
    <w:abstractNumId w:val="44"/>
  </w:num>
  <w:num w:numId="39" w16cid:durableId="1622371671">
    <w:abstractNumId w:val="1"/>
  </w:num>
  <w:num w:numId="40" w16cid:durableId="2101633044">
    <w:abstractNumId w:val="19"/>
  </w:num>
  <w:num w:numId="41" w16cid:durableId="2024819758">
    <w:abstractNumId w:val="27"/>
  </w:num>
  <w:num w:numId="42" w16cid:durableId="592666352">
    <w:abstractNumId w:val="28"/>
  </w:num>
  <w:num w:numId="43" w16cid:durableId="327759032">
    <w:abstractNumId w:val="8"/>
  </w:num>
  <w:num w:numId="44" w16cid:durableId="2053575870">
    <w:abstractNumId w:val="2"/>
  </w:num>
  <w:num w:numId="45" w16cid:durableId="1939169456">
    <w:abstractNumId w:val="18"/>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16cid:durableId="313680657">
    <w:abstractNumId w:val="18"/>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7" w16cid:durableId="1242908470">
    <w:abstractNumId w:val="18"/>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16cid:durableId="818576458">
    <w:abstractNumId w:val="18"/>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8F"/>
    <w:rsid w:val="000015D0"/>
    <w:rsid w:val="000016A6"/>
    <w:rsid w:val="000021BD"/>
    <w:rsid w:val="0000246C"/>
    <w:rsid w:val="00002476"/>
    <w:rsid w:val="00003468"/>
    <w:rsid w:val="00003B24"/>
    <w:rsid w:val="00004036"/>
    <w:rsid w:val="00004934"/>
    <w:rsid w:val="000056DE"/>
    <w:rsid w:val="000066DE"/>
    <w:rsid w:val="00006F06"/>
    <w:rsid w:val="00007200"/>
    <w:rsid w:val="00007859"/>
    <w:rsid w:val="00011E1B"/>
    <w:rsid w:val="00012313"/>
    <w:rsid w:val="00012DC3"/>
    <w:rsid w:val="000165E0"/>
    <w:rsid w:val="000176ED"/>
    <w:rsid w:val="00017DF1"/>
    <w:rsid w:val="00023FC2"/>
    <w:rsid w:val="000241AE"/>
    <w:rsid w:val="00027E93"/>
    <w:rsid w:val="00030336"/>
    <w:rsid w:val="00031449"/>
    <w:rsid w:val="0003519C"/>
    <w:rsid w:val="00037F6E"/>
    <w:rsid w:val="0004072D"/>
    <w:rsid w:val="00040A32"/>
    <w:rsid w:val="00040E46"/>
    <w:rsid w:val="0004171F"/>
    <w:rsid w:val="0004292A"/>
    <w:rsid w:val="00042946"/>
    <w:rsid w:val="00042948"/>
    <w:rsid w:val="0004542F"/>
    <w:rsid w:val="000459BB"/>
    <w:rsid w:val="00046C60"/>
    <w:rsid w:val="000506E4"/>
    <w:rsid w:val="0005096D"/>
    <w:rsid w:val="00052357"/>
    <w:rsid w:val="00053F03"/>
    <w:rsid w:val="000543B8"/>
    <w:rsid w:val="00055210"/>
    <w:rsid w:val="00055C21"/>
    <w:rsid w:val="00055D07"/>
    <w:rsid w:val="0005633C"/>
    <w:rsid w:val="0006053E"/>
    <w:rsid w:val="00060C72"/>
    <w:rsid w:val="00063F9D"/>
    <w:rsid w:val="00064407"/>
    <w:rsid w:val="0006527D"/>
    <w:rsid w:val="000657AF"/>
    <w:rsid w:val="00071639"/>
    <w:rsid w:val="0007261C"/>
    <w:rsid w:val="000729B4"/>
    <w:rsid w:val="0007380C"/>
    <w:rsid w:val="00073C70"/>
    <w:rsid w:val="00074091"/>
    <w:rsid w:val="0007540E"/>
    <w:rsid w:val="00077C4C"/>
    <w:rsid w:val="00077EA8"/>
    <w:rsid w:val="00080B48"/>
    <w:rsid w:val="000829A5"/>
    <w:rsid w:val="00082D5C"/>
    <w:rsid w:val="0008372F"/>
    <w:rsid w:val="0008377A"/>
    <w:rsid w:val="000839C5"/>
    <w:rsid w:val="0008437A"/>
    <w:rsid w:val="00084AB0"/>
    <w:rsid w:val="00084E78"/>
    <w:rsid w:val="0008583F"/>
    <w:rsid w:val="000860B5"/>
    <w:rsid w:val="00086E51"/>
    <w:rsid w:val="000875E2"/>
    <w:rsid w:val="00087B7E"/>
    <w:rsid w:val="00090AE1"/>
    <w:rsid w:val="00091EE7"/>
    <w:rsid w:val="000927FD"/>
    <w:rsid w:val="00092837"/>
    <w:rsid w:val="00092F17"/>
    <w:rsid w:val="00093D86"/>
    <w:rsid w:val="00094EE1"/>
    <w:rsid w:val="00095BCE"/>
    <w:rsid w:val="00097CBC"/>
    <w:rsid w:val="000A0F22"/>
    <w:rsid w:val="000A149C"/>
    <w:rsid w:val="000A2219"/>
    <w:rsid w:val="000A2BC4"/>
    <w:rsid w:val="000A43C2"/>
    <w:rsid w:val="000A64FC"/>
    <w:rsid w:val="000A6A4A"/>
    <w:rsid w:val="000A6EB7"/>
    <w:rsid w:val="000A751E"/>
    <w:rsid w:val="000A7708"/>
    <w:rsid w:val="000B0B8F"/>
    <w:rsid w:val="000B1151"/>
    <w:rsid w:val="000B13F2"/>
    <w:rsid w:val="000B1F54"/>
    <w:rsid w:val="000B1F6F"/>
    <w:rsid w:val="000B2559"/>
    <w:rsid w:val="000B25B6"/>
    <w:rsid w:val="000B3503"/>
    <w:rsid w:val="000B37AA"/>
    <w:rsid w:val="000B3DA3"/>
    <w:rsid w:val="000B55DF"/>
    <w:rsid w:val="000B72EF"/>
    <w:rsid w:val="000B7430"/>
    <w:rsid w:val="000B7D60"/>
    <w:rsid w:val="000C0084"/>
    <w:rsid w:val="000C0540"/>
    <w:rsid w:val="000C101D"/>
    <w:rsid w:val="000C165A"/>
    <w:rsid w:val="000C258A"/>
    <w:rsid w:val="000C2AF2"/>
    <w:rsid w:val="000C565B"/>
    <w:rsid w:val="000C5CD9"/>
    <w:rsid w:val="000C5D22"/>
    <w:rsid w:val="000C641F"/>
    <w:rsid w:val="000D0795"/>
    <w:rsid w:val="000D0E09"/>
    <w:rsid w:val="000D1FC3"/>
    <w:rsid w:val="000D2BF4"/>
    <w:rsid w:val="000D2C44"/>
    <w:rsid w:val="000D3AF3"/>
    <w:rsid w:val="000D48CC"/>
    <w:rsid w:val="000D4DCA"/>
    <w:rsid w:val="000D6337"/>
    <w:rsid w:val="000D7338"/>
    <w:rsid w:val="000D7480"/>
    <w:rsid w:val="000D77ED"/>
    <w:rsid w:val="000D7D18"/>
    <w:rsid w:val="000E06EE"/>
    <w:rsid w:val="000E08F1"/>
    <w:rsid w:val="000E1417"/>
    <w:rsid w:val="000E1F65"/>
    <w:rsid w:val="000E3A44"/>
    <w:rsid w:val="000E3AB8"/>
    <w:rsid w:val="000E5C69"/>
    <w:rsid w:val="000E5FC6"/>
    <w:rsid w:val="000E63A1"/>
    <w:rsid w:val="000F2448"/>
    <w:rsid w:val="000F2639"/>
    <w:rsid w:val="000F2AC7"/>
    <w:rsid w:val="000F32A8"/>
    <w:rsid w:val="000F3749"/>
    <w:rsid w:val="000F3A65"/>
    <w:rsid w:val="000F4453"/>
    <w:rsid w:val="000F527B"/>
    <w:rsid w:val="000F603B"/>
    <w:rsid w:val="000F627B"/>
    <w:rsid w:val="000F6EFE"/>
    <w:rsid w:val="000F6FDF"/>
    <w:rsid w:val="00100660"/>
    <w:rsid w:val="0010196E"/>
    <w:rsid w:val="00101D7C"/>
    <w:rsid w:val="00101E10"/>
    <w:rsid w:val="00102CBA"/>
    <w:rsid w:val="00102F50"/>
    <w:rsid w:val="00102F74"/>
    <w:rsid w:val="00103047"/>
    <w:rsid w:val="001034DC"/>
    <w:rsid w:val="00104298"/>
    <w:rsid w:val="0010456C"/>
    <w:rsid w:val="00104F1C"/>
    <w:rsid w:val="001054F0"/>
    <w:rsid w:val="00110CB3"/>
    <w:rsid w:val="00111C77"/>
    <w:rsid w:val="00112237"/>
    <w:rsid w:val="00112ADB"/>
    <w:rsid w:val="00114413"/>
    <w:rsid w:val="0011445C"/>
    <w:rsid w:val="00114911"/>
    <w:rsid w:val="001154FD"/>
    <w:rsid w:val="00115F36"/>
    <w:rsid w:val="00120FCB"/>
    <w:rsid w:val="00123B9D"/>
    <w:rsid w:val="00124A24"/>
    <w:rsid w:val="00124C70"/>
    <w:rsid w:val="0012665F"/>
    <w:rsid w:val="00126CDA"/>
    <w:rsid w:val="00130838"/>
    <w:rsid w:val="001309D2"/>
    <w:rsid w:val="00131306"/>
    <w:rsid w:val="00131E42"/>
    <w:rsid w:val="0013476D"/>
    <w:rsid w:val="00135D7E"/>
    <w:rsid w:val="00135EA0"/>
    <w:rsid w:val="0013607D"/>
    <w:rsid w:val="00136092"/>
    <w:rsid w:val="0013614E"/>
    <w:rsid w:val="00137419"/>
    <w:rsid w:val="00140F3B"/>
    <w:rsid w:val="00141D02"/>
    <w:rsid w:val="00141D70"/>
    <w:rsid w:val="00142500"/>
    <w:rsid w:val="001426AE"/>
    <w:rsid w:val="001437AC"/>
    <w:rsid w:val="00143AA9"/>
    <w:rsid w:val="00144AEB"/>
    <w:rsid w:val="0014564A"/>
    <w:rsid w:val="001462DF"/>
    <w:rsid w:val="00147358"/>
    <w:rsid w:val="001474E4"/>
    <w:rsid w:val="00147FC4"/>
    <w:rsid w:val="00151FB2"/>
    <w:rsid w:val="001520D7"/>
    <w:rsid w:val="001532F2"/>
    <w:rsid w:val="00155556"/>
    <w:rsid w:val="0015612E"/>
    <w:rsid w:val="001561BB"/>
    <w:rsid w:val="00156AB8"/>
    <w:rsid w:val="00160EAA"/>
    <w:rsid w:val="00161077"/>
    <w:rsid w:val="00164786"/>
    <w:rsid w:val="00164D16"/>
    <w:rsid w:val="00164F9C"/>
    <w:rsid w:val="00165635"/>
    <w:rsid w:val="0016568C"/>
    <w:rsid w:val="001664B8"/>
    <w:rsid w:val="00167337"/>
    <w:rsid w:val="0017007A"/>
    <w:rsid w:val="001717B4"/>
    <w:rsid w:val="00171835"/>
    <w:rsid w:val="00173B85"/>
    <w:rsid w:val="00173E73"/>
    <w:rsid w:val="00174819"/>
    <w:rsid w:val="00174BBD"/>
    <w:rsid w:val="00174FC1"/>
    <w:rsid w:val="00175495"/>
    <w:rsid w:val="0017586C"/>
    <w:rsid w:val="00175BE7"/>
    <w:rsid w:val="00176259"/>
    <w:rsid w:val="00176684"/>
    <w:rsid w:val="0017706F"/>
    <w:rsid w:val="0017773B"/>
    <w:rsid w:val="00177C7E"/>
    <w:rsid w:val="00181FA9"/>
    <w:rsid w:val="0018245F"/>
    <w:rsid w:val="0018290F"/>
    <w:rsid w:val="00182A84"/>
    <w:rsid w:val="00182C23"/>
    <w:rsid w:val="00183DF1"/>
    <w:rsid w:val="00185EE3"/>
    <w:rsid w:val="00185F7F"/>
    <w:rsid w:val="0018662E"/>
    <w:rsid w:val="00187885"/>
    <w:rsid w:val="00187BE0"/>
    <w:rsid w:val="0019124C"/>
    <w:rsid w:val="0019152D"/>
    <w:rsid w:val="0019160D"/>
    <w:rsid w:val="00193024"/>
    <w:rsid w:val="00193060"/>
    <w:rsid w:val="00193937"/>
    <w:rsid w:val="00194461"/>
    <w:rsid w:val="00196540"/>
    <w:rsid w:val="00196808"/>
    <w:rsid w:val="00196896"/>
    <w:rsid w:val="001975A9"/>
    <w:rsid w:val="00197CDE"/>
    <w:rsid w:val="001A082B"/>
    <w:rsid w:val="001A0B0C"/>
    <w:rsid w:val="001A109A"/>
    <w:rsid w:val="001A155F"/>
    <w:rsid w:val="001A1C4A"/>
    <w:rsid w:val="001A3E69"/>
    <w:rsid w:val="001A6499"/>
    <w:rsid w:val="001A65ED"/>
    <w:rsid w:val="001A6DA8"/>
    <w:rsid w:val="001B052B"/>
    <w:rsid w:val="001B0576"/>
    <w:rsid w:val="001B1AEF"/>
    <w:rsid w:val="001B1E30"/>
    <w:rsid w:val="001B58BF"/>
    <w:rsid w:val="001B6048"/>
    <w:rsid w:val="001B7A8B"/>
    <w:rsid w:val="001C168B"/>
    <w:rsid w:val="001C1AFD"/>
    <w:rsid w:val="001C2B67"/>
    <w:rsid w:val="001C41C8"/>
    <w:rsid w:val="001C5D4B"/>
    <w:rsid w:val="001C6318"/>
    <w:rsid w:val="001C7068"/>
    <w:rsid w:val="001D1271"/>
    <w:rsid w:val="001D1BBC"/>
    <w:rsid w:val="001D2DF0"/>
    <w:rsid w:val="001D2E7A"/>
    <w:rsid w:val="001D37E3"/>
    <w:rsid w:val="001D3863"/>
    <w:rsid w:val="001D488F"/>
    <w:rsid w:val="001D5482"/>
    <w:rsid w:val="001D5646"/>
    <w:rsid w:val="001D6D08"/>
    <w:rsid w:val="001E0B8E"/>
    <w:rsid w:val="001E10BF"/>
    <w:rsid w:val="001E14F9"/>
    <w:rsid w:val="001E232D"/>
    <w:rsid w:val="001E26AB"/>
    <w:rsid w:val="001E28D8"/>
    <w:rsid w:val="001E4438"/>
    <w:rsid w:val="001E5149"/>
    <w:rsid w:val="001E51B9"/>
    <w:rsid w:val="001E5831"/>
    <w:rsid w:val="001E5D0F"/>
    <w:rsid w:val="001E5E93"/>
    <w:rsid w:val="001E6667"/>
    <w:rsid w:val="001E671F"/>
    <w:rsid w:val="001E6E26"/>
    <w:rsid w:val="001E7310"/>
    <w:rsid w:val="001F1233"/>
    <w:rsid w:val="001F1458"/>
    <w:rsid w:val="001F1FB1"/>
    <w:rsid w:val="001F2C79"/>
    <w:rsid w:val="001F314D"/>
    <w:rsid w:val="001F38DA"/>
    <w:rsid w:val="001F4145"/>
    <w:rsid w:val="001F4CB2"/>
    <w:rsid w:val="001F4E8C"/>
    <w:rsid w:val="001F5905"/>
    <w:rsid w:val="001F6625"/>
    <w:rsid w:val="001F676D"/>
    <w:rsid w:val="001F67D9"/>
    <w:rsid w:val="001F773B"/>
    <w:rsid w:val="0020039C"/>
    <w:rsid w:val="00201056"/>
    <w:rsid w:val="002042AE"/>
    <w:rsid w:val="002047DB"/>
    <w:rsid w:val="00204DDF"/>
    <w:rsid w:val="0020545B"/>
    <w:rsid w:val="00206960"/>
    <w:rsid w:val="00206B36"/>
    <w:rsid w:val="00207039"/>
    <w:rsid w:val="002078B2"/>
    <w:rsid w:val="00211348"/>
    <w:rsid w:val="00211AFD"/>
    <w:rsid w:val="00212994"/>
    <w:rsid w:val="00213FAB"/>
    <w:rsid w:val="00214133"/>
    <w:rsid w:val="00214B26"/>
    <w:rsid w:val="00215900"/>
    <w:rsid w:val="00220272"/>
    <w:rsid w:val="00221D22"/>
    <w:rsid w:val="00222A5D"/>
    <w:rsid w:val="002247F1"/>
    <w:rsid w:val="002251A9"/>
    <w:rsid w:val="00226226"/>
    <w:rsid w:val="002271C3"/>
    <w:rsid w:val="0023214C"/>
    <w:rsid w:val="0023279E"/>
    <w:rsid w:val="0023364A"/>
    <w:rsid w:val="00233CB2"/>
    <w:rsid w:val="002347CA"/>
    <w:rsid w:val="00235E45"/>
    <w:rsid w:val="00235F82"/>
    <w:rsid w:val="002377E0"/>
    <w:rsid w:val="002401DA"/>
    <w:rsid w:val="00240C55"/>
    <w:rsid w:val="00240E88"/>
    <w:rsid w:val="0024252B"/>
    <w:rsid w:val="002426AE"/>
    <w:rsid w:val="002427FB"/>
    <w:rsid w:val="00242F01"/>
    <w:rsid w:val="00243F04"/>
    <w:rsid w:val="00244385"/>
    <w:rsid w:val="00245AA7"/>
    <w:rsid w:val="00250A64"/>
    <w:rsid w:val="00252255"/>
    <w:rsid w:val="00252511"/>
    <w:rsid w:val="002529F2"/>
    <w:rsid w:val="00252E1A"/>
    <w:rsid w:val="00253248"/>
    <w:rsid w:val="00253A0E"/>
    <w:rsid w:val="00255792"/>
    <w:rsid w:val="00257F60"/>
    <w:rsid w:val="00260542"/>
    <w:rsid w:val="00262CF6"/>
    <w:rsid w:val="00263982"/>
    <w:rsid w:val="002643F2"/>
    <w:rsid w:val="002647D4"/>
    <w:rsid w:val="0026496A"/>
    <w:rsid w:val="00265169"/>
    <w:rsid w:val="00266285"/>
    <w:rsid w:val="002666BA"/>
    <w:rsid w:val="002676FB"/>
    <w:rsid w:val="00270604"/>
    <w:rsid w:val="00270680"/>
    <w:rsid w:val="002717F1"/>
    <w:rsid w:val="00273281"/>
    <w:rsid w:val="00275B21"/>
    <w:rsid w:val="00276E33"/>
    <w:rsid w:val="00277784"/>
    <w:rsid w:val="00281561"/>
    <w:rsid w:val="00282634"/>
    <w:rsid w:val="0028307B"/>
    <w:rsid w:val="00283365"/>
    <w:rsid w:val="002833EB"/>
    <w:rsid w:val="002836C9"/>
    <w:rsid w:val="002849A2"/>
    <w:rsid w:val="00286FB7"/>
    <w:rsid w:val="00291837"/>
    <w:rsid w:val="00291C3E"/>
    <w:rsid w:val="002928E8"/>
    <w:rsid w:val="0029389E"/>
    <w:rsid w:val="00293C22"/>
    <w:rsid w:val="00294A3E"/>
    <w:rsid w:val="00294AF6"/>
    <w:rsid w:val="00295622"/>
    <w:rsid w:val="00295974"/>
    <w:rsid w:val="00295E63"/>
    <w:rsid w:val="00296204"/>
    <w:rsid w:val="00297468"/>
    <w:rsid w:val="00297CD3"/>
    <w:rsid w:val="002A0EDB"/>
    <w:rsid w:val="002A189C"/>
    <w:rsid w:val="002A3E08"/>
    <w:rsid w:val="002A42AC"/>
    <w:rsid w:val="002A4720"/>
    <w:rsid w:val="002A573A"/>
    <w:rsid w:val="002A5BB3"/>
    <w:rsid w:val="002A7CB7"/>
    <w:rsid w:val="002B1659"/>
    <w:rsid w:val="002B228A"/>
    <w:rsid w:val="002B23ED"/>
    <w:rsid w:val="002B28EB"/>
    <w:rsid w:val="002B41C9"/>
    <w:rsid w:val="002B4364"/>
    <w:rsid w:val="002B494B"/>
    <w:rsid w:val="002B4A9D"/>
    <w:rsid w:val="002B5BAE"/>
    <w:rsid w:val="002B5C03"/>
    <w:rsid w:val="002B5E0F"/>
    <w:rsid w:val="002B7320"/>
    <w:rsid w:val="002C1D3B"/>
    <w:rsid w:val="002C1DC1"/>
    <w:rsid w:val="002C220B"/>
    <w:rsid w:val="002C37CF"/>
    <w:rsid w:val="002C5CE6"/>
    <w:rsid w:val="002C5FA0"/>
    <w:rsid w:val="002C60C8"/>
    <w:rsid w:val="002D11A9"/>
    <w:rsid w:val="002D1D8F"/>
    <w:rsid w:val="002D2079"/>
    <w:rsid w:val="002D2FB1"/>
    <w:rsid w:val="002D375E"/>
    <w:rsid w:val="002D406F"/>
    <w:rsid w:val="002D4CC5"/>
    <w:rsid w:val="002D568D"/>
    <w:rsid w:val="002D5B82"/>
    <w:rsid w:val="002D5F94"/>
    <w:rsid w:val="002D73C7"/>
    <w:rsid w:val="002E0D22"/>
    <w:rsid w:val="002E0FF0"/>
    <w:rsid w:val="002E153C"/>
    <w:rsid w:val="002E4B49"/>
    <w:rsid w:val="002E6697"/>
    <w:rsid w:val="002E732E"/>
    <w:rsid w:val="002E7E77"/>
    <w:rsid w:val="002F20C0"/>
    <w:rsid w:val="002F2443"/>
    <w:rsid w:val="002F3EE2"/>
    <w:rsid w:val="002F3FFA"/>
    <w:rsid w:val="002F425D"/>
    <w:rsid w:val="002F5427"/>
    <w:rsid w:val="002F55BC"/>
    <w:rsid w:val="003004A4"/>
    <w:rsid w:val="003008A0"/>
    <w:rsid w:val="00300CE7"/>
    <w:rsid w:val="00301388"/>
    <w:rsid w:val="0030170F"/>
    <w:rsid w:val="00301D47"/>
    <w:rsid w:val="00302256"/>
    <w:rsid w:val="003030CD"/>
    <w:rsid w:val="0030342B"/>
    <w:rsid w:val="00304E4D"/>
    <w:rsid w:val="00306225"/>
    <w:rsid w:val="00313783"/>
    <w:rsid w:val="0031700F"/>
    <w:rsid w:val="00317AEF"/>
    <w:rsid w:val="003207D2"/>
    <w:rsid w:val="00320A6D"/>
    <w:rsid w:val="00320DB7"/>
    <w:rsid w:val="00321346"/>
    <w:rsid w:val="00321FD9"/>
    <w:rsid w:val="00324EF3"/>
    <w:rsid w:val="003258D9"/>
    <w:rsid w:val="00325E46"/>
    <w:rsid w:val="0032610A"/>
    <w:rsid w:val="0032650E"/>
    <w:rsid w:val="00326BE1"/>
    <w:rsid w:val="0033100C"/>
    <w:rsid w:val="00332FE1"/>
    <w:rsid w:val="003330BD"/>
    <w:rsid w:val="00334A58"/>
    <w:rsid w:val="00335317"/>
    <w:rsid w:val="00335522"/>
    <w:rsid w:val="003362E3"/>
    <w:rsid w:val="003369CA"/>
    <w:rsid w:val="00340659"/>
    <w:rsid w:val="00340F71"/>
    <w:rsid w:val="0034369F"/>
    <w:rsid w:val="00345562"/>
    <w:rsid w:val="00346DAC"/>
    <w:rsid w:val="003471FD"/>
    <w:rsid w:val="00347356"/>
    <w:rsid w:val="003476D4"/>
    <w:rsid w:val="003503E7"/>
    <w:rsid w:val="00350BB9"/>
    <w:rsid w:val="00355BA8"/>
    <w:rsid w:val="00356E81"/>
    <w:rsid w:val="0035737A"/>
    <w:rsid w:val="0036098B"/>
    <w:rsid w:val="00360ED5"/>
    <w:rsid w:val="0036142F"/>
    <w:rsid w:val="00361CD4"/>
    <w:rsid w:val="00362447"/>
    <w:rsid w:val="00365242"/>
    <w:rsid w:val="0036554A"/>
    <w:rsid w:val="003669EB"/>
    <w:rsid w:val="00367994"/>
    <w:rsid w:val="0037269D"/>
    <w:rsid w:val="00372BC1"/>
    <w:rsid w:val="00373A48"/>
    <w:rsid w:val="00373F16"/>
    <w:rsid w:val="00374839"/>
    <w:rsid w:val="00375495"/>
    <w:rsid w:val="003755FA"/>
    <w:rsid w:val="0037581E"/>
    <w:rsid w:val="00375F87"/>
    <w:rsid w:val="003763C6"/>
    <w:rsid w:val="00380839"/>
    <w:rsid w:val="00381B8C"/>
    <w:rsid w:val="003825EE"/>
    <w:rsid w:val="00383356"/>
    <w:rsid w:val="003835A4"/>
    <w:rsid w:val="00383973"/>
    <w:rsid w:val="00384159"/>
    <w:rsid w:val="003844CD"/>
    <w:rsid w:val="00384AF2"/>
    <w:rsid w:val="003855A0"/>
    <w:rsid w:val="003856BD"/>
    <w:rsid w:val="00390138"/>
    <w:rsid w:val="003904FF"/>
    <w:rsid w:val="003906F6"/>
    <w:rsid w:val="00390D37"/>
    <w:rsid w:val="003925A3"/>
    <w:rsid w:val="00392F5E"/>
    <w:rsid w:val="00396253"/>
    <w:rsid w:val="00396628"/>
    <w:rsid w:val="0039666D"/>
    <w:rsid w:val="003A0EF7"/>
    <w:rsid w:val="003A1794"/>
    <w:rsid w:val="003A1DFD"/>
    <w:rsid w:val="003A3A27"/>
    <w:rsid w:val="003A4408"/>
    <w:rsid w:val="003A4BB6"/>
    <w:rsid w:val="003A5F3D"/>
    <w:rsid w:val="003B23CF"/>
    <w:rsid w:val="003B2581"/>
    <w:rsid w:val="003B277B"/>
    <w:rsid w:val="003B278F"/>
    <w:rsid w:val="003B3447"/>
    <w:rsid w:val="003B4355"/>
    <w:rsid w:val="003B7061"/>
    <w:rsid w:val="003B7A4A"/>
    <w:rsid w:val="003C05F9"/>
    <w:rsid w:val="003C0AFA"/>
    <w:rsid w:val="003C0BDA"/>
    <w:rsid w:val="003C0F23"/>
    <w:rsid w:val="003C45A9"/>
    <w:rsid w:val="003C5160"/>
    <w:rsid w:val="003C5691"/>
    <w:rsid w:val="003C582F"/>
    <w:rsid w:val="003C6161"/>
    <w:rsid w:val="003C63AB"/>
    <w:rsid w:val="003C774D"/>
    <w:rsid w:val="003C7B73"/>
    <w:rsid w:val="003D0876"/>
    <w:rsid w:val="003D171F"/>
    <w:rsid w:val="003D1FE0"/>
    <w:rsid w:val="003D2037"/>
    <w:rsid w:val="003D2BCE"/>
    <w:rsid w:val="003D3806"/>
    <w:rsid w:val="003D4E1B"/>
    <w:rsid w:val="003D5CDE"/>
    <w:rsid w:val="003D614B"/>
    <w:rsid w:val="003D78CC"/>
    <w:rsid w:val="003E067E"/>
    <w:rsid w:val="003E0B27"/>
    <w:rsid w:val="003E0E23"/>
    <w:rsid w:val="003E0E98"/>
    <w:rsid w:val="003E20F3"/>
    <w:rsid w:val="003E345E"/>
    <w:rsid w:val="003E55E9"/>
    <w:rsid w:val="003E6AF1"/>
    <w:rsid w:val="003F0C92"/>
    <w:rsid w:val="003F1472"/>
    <w:rsid w:val="003F14CF"/>
    <w:rsid w:val="003F30E7"/>
    <w:rsid w:val="003F31F8"/>
    <w:rsid w:val="003F37C4"/>
    <w:rsid w:val="003F7666"/>
    <w:rsid w:val="004006C8"/>
    <w:rsid w:val="00400D48"/>
    <w:rsid w:val="004011C4"/>
    <w:rsid w:val="00402CD3"/>
    <w:rsid w:val="00403995"/>
    <w:rsid w:val="00403F6C"/>
    <w:rsid w:val="00405510"/>
    <w:rsid w:val="00405C20"/>
    <w:rsid w:val="00406B82"/>
    <w:rsid w:val="004117CC"/>
    <w:rsid w:val="004117E7"/>
    <w:rsid w:val="00411E05"/>
    <w:rsid w:val="00412C4F"/>
    <w:rsid w:val="00414A6F"/>
    <w:rsid w:val="00415108"/>
    <w:rsid w:val="004153AD"/>
    <w:rsid w:val="00415B77"/>
    <w:rsid w:val="00415BBB"/>
    <w:rsid w:val="00417576"/>
    <w:rsid w:val="00420BB4"/>
    <w:rsid w:val="00422AD9"/>
    <w:rsid w:val="004240C9"/>
    <w:rsid w:val="00424307"/>
    <w:rsid w:val="00424FD8"/>
    <w:rsid w:val="00425143"/>
    <w:rsid w:val="0042667C"/>
    <w:rsid w:val="00426A2B"/>
    <w:rsid w:val="00427025"/>
    <w:rsid w:val="00427CBE"/>
    <w:rsid w:val="004304C3"/>
    <w:rsid w:val="00430B04"/>
    <w:rsid w:val="00430BF2"/>
    <w:rsid w:val="00430D3E"/>
    <w:rsid w:val="004311A5"/>
    <w:rsid w:val="00432CA3"/>
    <w:rsid w:val="00435821"/>
    <w:rsid w:val="00436D28"/>
    <w:rsid w:val="00437149"/>
    <w:rsid w:val="0043796F"/>
    <w:rsid w:val="00437CB4"/>
    <w:rsid w:val="00441F33"/>
    <w:rsid w:val="00443606"/>
    <w:rsid w:val="00444154"/>
    <w:rsid w:val="00444341"/>
    <w:rsid w:val="00444363"/>
    <w:rsid w:val="00445F24"/>
    <w:rsid w:val="004462B8"/>
    <w:rsid w:val="004510D1"/>
    <w:rsid w:val="0045195E"/>
    <w:rsid w:val="00451C06"/>
    <w:rsid w:val="00453149"/>
    <w:rsid w:val="0045458D"/>
    <w:rsid w:val="004555D8"/>
    <w:rsid w:val="00457FB7"/>
    <w:rsid w:val="00460214"/>
    <w:rsid w:val="00460FCC"/>
    <w:rsid w:val="00461213"/>
    <w:rsid w:val="00463A64"/>
    <w:rsid w:val="00465B26"/>
    <w:rsid w:val="004674D6"/>
    <w:rsid w:val="00470F65"/>
    <w:rsid w:val="0047109B"/>
    <w:rsid w:val="004710E0"/>
    <w:rsid w:val="00471A3D"/>
    <w:rsid w:val="00471CE2"/>
    <w:rsid w:val="0047685E"/>
    <w:rsid w:val="004778F3"/>
    <w:rsid w:val="00477CB7"/>
    <w:rsid w:val="00477E04"/>
    <w:rsid w:val="00481274"/>
    <w:rsid w:val="00481B1D"/>
    <w:rsid w:val="00481DA8"/>
    <w:rsid w:val="0048226E"/>
    <w:rsid w:val="0048326C"/>
    <w:rsid w:val="00483AA2"/>
    <w:rsid w:val="00484875"/>
    <w:rsid w:val="00484A2A"/>
    <w:rsid w:val="00485E1A"/>
    <w:rsid w:val="0048615C"/>
    <w:rsid w:val="00487480"/>
    <w:rsid w:val="0049034F"/>
    <w:rsid w:val="00490926"/>
    <w:rsid w:val="00490E6F"/>
    <w:rsid w:val="0049102B"/>
    <w:rsid w:val="00491836"/>
    <w:rsid w:val="004922AD"/>
    <w:rsid w:val="00494CF2"/>
    <w:rsid w:val="004962DD"/>
    <w:rsid w:val="004963D7"/>
    <w:rsid w:val="00496F82"/>
    <w:rsid w:val="004970D8"/>
    <w:rsid w:val="00497B56"/>
    <w:rsid w:val="004A0DEF"/>
    <w:rsid w:val="004A1F30"/>
    <w:rsid w:val="004A2209"/>
    <w:rsid w:val="004A324A"/>
    <w:rsid w:val="004A3688"/>
    <w:rsid w:val="004A3CCE"/>
    <w:rsid w:val="004A484D"/>
    <w:rsid w:val="004A619F"/>
    <w:rsid w:val="004A67D8"/>
    <w:rsid w:val="004A6D16"/>
    <w:rsid w:val="004A6E03"/>
    <w:rsid w:val="004A7A2E"/>
    <w:rsid w:val="004B04C5"/>
    <w:rsid w:val="004B0624"/>
    <w:rsid w:val="004B2C5B"/>
    <w:rsid w:val="004B374B"/>
    <w:rsid w:val="004B4ADA"/>
    <w:rsid w:val="004B6156"/>
    <w:rsid w:val="004C04B0"/>
    <w:rsid w:val="004C06C9"/>
    <w:rsid w:val="004C0E51"/>
    <w:rsid w:val="004C2809"/>
    <w:rsid w:val="004C40D3"/>
    <w:rsid w:val="004C45C6"/>
    <w:rsid w:val="004C4E3C"/>
    <w:rsid w:val="004C6CBB"/>
    <w:rsid w:val="004C70F7"/>
    <w:rsid w:val="004C77A1"/>
    <w:rsid w:val="004C7B04"/>
    <w:rsid w:val="004C7D81"/>
    <w:rsid w:val="004C7FEE"/>
    <w:rsid w:val="004D0599"/>
    <w:rsid w:val="004D2C3B"/>
    <w:rsid w:val="004D4A0B"/>
    <w:rsid w:val="004D4DD0"/>
    <w:rsid w:val="004E0401"/>
    <w:rsid w:val="004E129C"/>
    <w:rsid w:val="004E174D"/>
    <w:rsid w:val="004E2F4B"/>
    <w:rsid w:val="004E3892"/>
    <w:rsid w:val="004E45F2"/>
    <w:rsid w:val="004E6557"/>
    <w:rsid w:val="004E7D8C"/>
    <w:rsid w:val="004E7DB8"/>
    <w:rsid w:val="004F0CB1"/>
    <w:rsid w:val="004F1947"/>
    <w:rsid w:val="004F2AB2"/>
    <w:rsid w:val="004F2BDD"/>
    <w:rsid w:val="004F2BEA"/>
    <w:rsid w:val="004F3F4C"/>
    <w:rsid w:val="004F4EF2"/>
    <w:rsid w:val="004F4F9E"/>
    <w:rsid w:val="004F57DA"/>
    <w:rsid w:val="004F617E"/>
    <w:rsid w:val="004F7212"/>
    <w:rsid w:val="00501FD6"/>
    <w:rsid w:val="00502DA0"/>
    <w:rsid w:val="00503E97"/>
    <w:rsid w:val="00504847"/>
    <w:rsid w:val="00504CBB"/>
    <w:rsid w:val="00504EED"/>
    <w:rsid w:val="00505C45"/>
    <w:rsid w:val="0051074A"/>
    <w:rsid w:val="005116CD"/>
    <w:rsid w:val="00511F27"/>
    <w:rsid w:val="005134E3"/>
    <w:rsid w:val="00513F07"/>
    <w:rsid w:val="00514DC6"/>
    <w:rsid w:val="0051510A"/>
    <w:rsid w:val="00515547"/>
    <w:rsid w:val="00520157"/>
    <w:rsid w:val="0052280F"/>
    <w:rsid w:val="005234D5"/>
    <w:rsid w:val="0052386C"/>
    <w:rsid w:val="00524E14"/>
    <w:rsid w:val="00525AAB"/>
    <w:rsid w:val="0052769E"/>
    <w:rsid w:val="00530421"/>
    <w:rsid w:val="00531CEA"/>
    <w:rsid w:val="005326EF"/>
    <w:rsid w:val="005329A7"/>
    <w:rsid w:val="0053353E"/>
    <w:rsid w:val="00536033"/>
    <w:rsid w:val="005370A9"/>
    <w:rsid w:val="00540048"/>
    <w:rsid w:val="00540E6C"/>
    <w:rsid w:val="00541AA4"/>
    <w:rsid w:val="00541CB4"/>
    <w:rsid w:val="00541EE0"/>
    <w:rsid w:val="00543B6B"/>
    <w:rsid w:val="00546BCE"/>
    <w:rsid w:val="0054701C"/>
    <w:rsid w:val="00547CBB"/>
    <w:rsid w:val="00550D06"/>
    <w:rsid w:val="00551096"/>
    <w:rsid w:val="005513DA"/>
    <w:rsid w:val="00551B2D"/>
    <w:rsid w:val="00555DEB"/>
    <w:rsid w:val="00556889"/>
    <w:rsid w:val="005570B9"/>
    <w:rsid w:val="00560276"/>
    <w:rsid w:val="005627A9"/>
    <w:rsid w:val="005642FB"/>
    <w:rsid w:val="005654A6"/>
    <w:rsid w:val="0056665E"/>
    <w:rsid w:val="005701F9"/>
    <w:rsid w:val="005703E8"/>
    <w:rsid w:val="0057075A"/>
    <w:rsid w:val="00574C99"/>
    <w:rsid w:val="00575C56"/>
    <w:rsid w:val="00577A4D"/>
    <w:rsid w:val="0058348E"/>
    <w:rsid w:val="00583FF6"/>
    <w:rsid w:val="00584CAE"/>
    <w:rsid w:val="00584DB3"/>
    <w:rsid w:val="005902D9"/>
    <w:rsid w:val="00590948"/>
    <w:rsid w:val="00593B62"/>
    <w:rsid w:val="00594FB0"/>
    <w:rsid w:val="005956C5"/>
    <w:rsid w:val="0059619D"/>
    <w:rsid w:val="00597A83"/>
    <w:rsid w:val="00597C27"/>
    <w:rsid w:val="005A0B97"/>
    <w:rsid w:val="005A17C9"/>
    <w:rsid w:val="005A76C7"/>
    <w:rsid w:val="005B0C82"/>
    <w:rsid w:val="005B23DD"/>
    <w:rsid w:val="005B2D12"/>
    <w:rsid w:val="005B36AD"/>
    <w:rsid w:val="005B387C"/>
    <w:rsid w:val="005B3D6D"/>
    <w:rsid w:val="005B3FEA"/>
    <w:rsid w:val="005B4020"/>
    <w:rsid w:val="005B7553"/>
    <w:rsid w:val="005B7B08"/>
    <w:rsid w:val="005C0D2C"/>
    <w:rsid w:val="005C0FF1"/>
    <w:rsid w:val="005C155D"/>
    <w:rsid w:val="005C1591"/>
    <w:rsid w:val="005C284D"/>
    <w:rsid w:val="005C28D7"/>
    <w:rsid w:val="005C2CE7"/>
    <w:rsid w:val="005C3212"/>
    <w:rsid w:val="005C5169"/>
    <w:rsid w:val="005D2AF6"/>
    <w:rsid w:val="005D32C4"/>
    <w:rsid w:val="005D3CE0"/>
    <w:rsid w:val="005D409B"/>
    <w:rsid w:val="005D4EFF"/>
    <w:rsid w:val="005E08DD"/>
    <w:rsid w:val="005E0F07"/>
    <w:rsid w:val="005E0FF5"/>
    <w:rsid w:val="005E10B3"/>
    <w:rsid w:val="005E14FD"/>
    <w:rsid w:val="005E2236"/>
    <w:rsid w:val="005E4332"/>
    <w:rsid w:val="005E4F24"/>
    <w:rsid w:val="005E50B2"/>
    <w:rsid w:val="005E537C"/>
    <w:rsid w:val="005E6994"/>
    <w:rsid w:val="005E76AD"/>
    <w:rsid w:val="005E7965"/>
    <w:rsid w:val="005F03A1"/>
    <w:rsid w:val="005F1A7C"/>
    <w:rsid w:val="005F37BD"/>
    <w:rsid w:val="005F398B"/>
    <w:rsid w:val="005F3F3E"/>
    <w:rsid w:val="005F4BB8"/>
    <w:rsid w:val="005F6D94"/>
    <w:rsid w:val="005F753F"/>
    <w:rsid w:val="006015D3"/>
    <w:rsid w:val="00603664"/>
    <w:rsid w:val="0060384D"/>
    <w:rsid w:val="00603FBF"/>
    <w:rsid w:val="00605271"/>
    <w:rsid w:val="00605D2A"/>
    <w:rsid w:val="00606906"/>
    <w:rsid w:val="00606B62"/>
    <w:rsid w:val="006076D7"/>
    <w:rsid w:val="00607EEC"/>
    <w:rsid w:val="00610440"/>
    <w:rsid w:val="006104CF"/>
    <w:rsid w:val="006109F9"/>
    <w:rsid w:val="00610B63"/>
    <w:rsid w:val="00611645"/>
    <w:rsid w:val="006125DC"/>
    <w:rsid w:val="0061265F"/>
    <w:rsid w:val="00612BD1"/>
    <w:rsid w:val="00612D94"/>
    <w:rsid w:val="00613CF9"/>
    <w:rsid w:val="0061400D"/>
    <w:rsid w:val="0061455C"/>
    <w:rsid w:val="006160C2"/>
    <w:rsid w:val="0061785E"/>
    <w:rsid w:val="00617EC6"/>
    <w:rsid w:val="00617FAF"/>
    <w:rsid w:val="00620FB1"/>
    <w:rsid w:val="006227AD"/>
    <w:rsid w:val="00622A05"/>
    <w:rsid w:val="0062569B"/>
    <w:rsid w:val="0063161C"/>
    <w:rsid w:val="00632D86"/>
    <w:rsid w:val="00633C68"/>
    <w:rsid w:val="00633FB3"/>
    <w:rsid w:val="00634E2B"/>
    <w:rsid w:val="00635A89"/>
    <w:rsid w:val="00635BE2"/>
    <w:rsid w:val="00635F70"/>
    <w:rsid w:val="00636464"/>
    <w:rsid w:val="00637159"/>
    <w:rsid w:val="00637671"/>
    <w:rsid w:val="00641C3A"/>
    <w:rsid w:val="00641FDA"/>
    <w:rsid w:val="00643516"/>
    <w:rsid w:val="006461EE"/>
    <w:rsid w:val="00646E97"/>
    <w:rsid w:val="0064729E"/>
    <w:rsid w:val="006501C4"/>
    <w:rsid w:val="00651882"/>
    <w:rsid w:val="00652CD5"/>
    <w:rsid w:val="0066098D"/>
    <w:rsid w:val="00660F43"/>
    <w:rsid w:val="006614D6"/>
    <w:rsid w:val="00661534"/>
    <w:rsid w:val="00661FB2"/>
    <w:rsid w:val="006639A1"/>
    <w:rsid w:val="00664D43"/>
    <w:rsid w:val="006663AC"/>
    <w:rsid w:val="006671D8"/>
    <w:rsid w:val="00670220"/>
    <w:rsid w:val="006703FE"/>
    <w:rsid w:val="00672D5C"/>
    <w:rsid w:val="00674E3C"/>
    <w:rsid w:val="006764AE"/>
    <w:rsid w:val="00676780"/>
    <w:rsid w:val="00676D9E"/>
    <w:rsid w:val="00677A1B"/>
    <w:rsid w:val="00681308"/>
    <w:rsid w:val="00681E8D"/>
    <w:rsid w:val="006825B2"/>
    <w:rsid w:val="006826F8"/>
    <w:rsid w:val="00682794"/>
    <w:rsid w:val="00683B13"/>
    <w:rsid w:val="00683BB1"/>
    <w:rsid w:val="006845B9"/>
    <w:rsid w:val="006850FB"/>
    <w:rsid w:val="00686B28"/>
    <w:rsid w:val="00687B7E"/>
    <w:rsid w:val="00690828"/>
    <w:rsid w:val="00692355"/>
    <w:rsid w:val="00693CAE"/>
    <w:rsid w:val="00696BA3"/>
    <w:rsid w:val="00696F54"/>
    <w:rsid w:val="0069773A"/>
    <w:rsid w:val="00697B0D"/>
    <w:rsid w:val="00697FEE"/>
    <w:rsid w:val="006A5D63"/>
    <w:rsid w:val="006A69EB"/>
    <w:rsid w:val="006B1000"/>
    <w:rsid w:val="006B1470"/>
    <w:rsid w:val="006B1699"/>
    <w:rsid w:val="006B2645"/>
    <w:rsid w:val="006B2A82"/>
    <w:rsid w:val="006B3F0F"/>
    <w:rsid w:val="006B5410"/>
    <w:rsid w:val="006B6316"/>
    <w:rsid w:val="006B6331"/>
    <w:rsid w:val="006B6B64"/>
    <w:rsid w:val="006B74CD"/>
    <w:rsid w:val="006C0821"/>
    <w:rsid w:val="006C0D28"/>
    <w:rsid w:val="006C1013"/>
    <w:rsid w:val="006C1FC3"/>
    <w:rsid w:val="006C2CC5"/>
    <w:rsid w:val="006C4E19"/>
    <w:rsid w:val="006C54F6"/>
    <w:rsid w:val="006C6FF6"/>
    <w:rsid w:val="006C783C"/>
    <w:rsid w:val="006D03FB"/>
    <w:rsid w:val="006D04B4"/>
    <w:rsid w:val="006D04F2"/>
    <w:rsid w:val="006D05D5"/>
    <w:rsid w:val="006D0F59"/>
    <w:rsid w:val="006D357F"/>
    <w:rsid w:val="006D4B27"/>
    <w:rsid w:val="006D4D7C"/>
    <w:rsid w:val="006D5607"/>
    <w:rsid w:val="006D68C8"/>
    <w:rsid w:val="006D6AE9"/>
    <w:rsid w:val="006D7605"/>
    <w:rsid w:val="006D7B6C"/>
    <w:rsid w:val="006D7EB8"/>
    <w:rsid w:val="006E27DF"/>
    <w:rsid w:val="006E2D7D"/>
    <w:rsid w:val="006E2EC6"/>
    <w:rsid w:val="006E5763"/>
    <w:rsid w:val="006E6221"/>
    <w:rsid w:val="006E6832"/>
    <w:rsid w:val="006E6F00"/>
    <w:rsid w:val="006F0C24"/>
    <w:rsid w:val="006F141D"/>
    <w:rsid w:val="006F3608"/>
    <w:rsid w:val="006F363D"/>
    <w:rsid w:val="006F4897"/>
    <w:rsid w:val="006F4B56"/>
    <w:rsid w:val="006F4CBC"/>
    <w:rsid w:val="006F55ED"/>
    <w:rsid w:val="006F5FAC"/>
    <w:rsid w:val="006F74C3"/>
    <w:rsid w:val="006F7C3E"/>
    <w:rsid w:val="00701AAD"/>
    <w:rsid w:val="00702398"/>
    <w:rsid w:val="007036AC"/>
    <w:rsid w:val="00703EFF"/>
    <w:rsid w:val="00705355"/>
    <w:rsid w:val="0070615E"/>
    <w:rsid w:val="0070756F"/>
    <w:rsid w:val="00713BC1"/>
    <w:rsid w:val="00714679"/>
    <w:rsid w:val="00715EDD"/>
    <w:rsid w:val="0072002E"/>
    <w:rsid w:val="0072098D"/>
    <w:rsid w:val="00720B22"/>
    <w:rsid w:val="00721565"/>
    <w:rsid w:val="00722039"/>
    <w:rsid w:val="0072228C"/>
    <w:rsid w:val="00724688"/>
    <w:rsid w:val="0072578B"/>
    <w:rsid w:val="00726086"/>
    <w:rsid w:val="0072649E"/>
    <w:rsid w:val="00730D09"/>
    <w:rsid w:val="00731605"/>
    <w:rsid w:val="00731D8A"/>
    <w:rsid w:val="00731ED7"/>
    <w:rsid w:val="00732248"/>
    <w:rsid w:val="00732984"/>
    <w:rsid w:val="00732BA0"/>
    <w:rsid w:val="00740312"/>
    <w:rsid w:val="00740EB3"/>
    <w:rsid w:val="00741FAF"/>
    <w:rsid w:val="00742675"/>
    <w:rsid w:val="007427E5"/>
    <w:rsid w:val="00742A0E"/>
    <w:rsid w:val="00742E07"/>
    <w:rsid w:val="007501B0"/>
    <w:rsid w:val="007528BB"/>
    <w:rsid w:val="00752BB6"/>
    <w:rsid w:val="00752BFD"/>
    <w:rsid w:val="00753236"/>
    <w:rsid w:val="00755A76"/>
    <w:rsid w:val="007560E8"/>
    <w:rsid w:val="00756466"/>
    <w:rsid w:val="00756BA2"/>
    <w:rsid w:val="00760090"/>
    <w:rsid w:val="00760A20"/>
    <w:rsid w:val="00760D7F"/>
    <w:rsid w:val="00761486"/>
    <w:rsid w:val="007634C4"/>
    <w:rsid w:val="00764234"/>
    <w:rsid w:val="00766B0A"/>
    <w:rsid w:val="00766C48"/>
    <w:rsid w:val="0076784B"/>
    <w:rsid w:val="00770A91"/>
    <w:rsid w:val="007729A6"/>
    <w:rsid w:val="00772DCC"/>
    <w:rsid w:val="00773A32"/>
    <w:rsid w:val="0077586F"/>
    <w:rsid w:val="007765CB"/>
    <w:rsid w:val="00776FF2"/>
    <w:rsid w:val="0077767A"/>
    <w:rsid w:val="00781595"/>
    <w:rsid w:val="007817D2"/>
    <w:rsid w:val="0078327A"/>
    <w:rsid w:val="00783CFE"/>
    <w:rsid w:val="0079157C"/>
    <w:rsid w:val="007936C9"/>
    <w:rsid w:val="00793FF8"/>
    <w:rsid w:val="0079422F"/>
    <w:rsid w:val="00796275"/>
    <w:rsid w:val="00797A20"/>
    <w:rsid w:val="00797FF2"/>
    <w:rsid w:val="007A2170"/>
    <w:rsid w:val="007A255F"/>
    <w:rsid w:val="007A2AB2"/>
    <w:rsid w:val="007A3509"/>
    <w:rsid w:val="007A397A"/>
    <w:rsid w:val="007A3FEB"/>
    <w:rsid w:val="007A4336"/>
    <w:rsid w:val="007A4AEA"/>
    <w:rsid w:val="007A4C83"/>
    <w:rsid w:val="007A55F8"/>
    <w:rsid w:val="007A5DE9"/>
    <w:rsid w:val="007A6FA6"/>
    <w:rsid w:val="007A7016"/>
    <w:rsid w:val="007A71F6"/>
    <w:rsid w:val="007B09E6"/>
    <w:rsid w:val="007B1686"/>
    <w:rsid w:val="007B1F48"/>
    <w:rsid w:val="007B2D34"/>
    <w:rsid w:val="007B410B"/>
    <w:rsid w:val="007B450E"/>
    <w:rsid w:val="007B568F"/>
    <w:rsid w:val="007B5BAD"/>
    <w:rsid w:val="007C1E8E"/>
    <w:rsid w:val="007C3A5C"/>
    <w:rsid w:val="007C4877"/>
    <w:rsid w:val="007C5C0D"/>
    <w:rsid w:val="007C5C3D"/>
    <w:rsid w:val="007C6273"/>
    <w:rsid w:val="007C7500"/>
    <w:rsid w:val="007D0151"/>
    <w:rsid w:val="007D05D0"/>
    <w:rsid w:val="007D0D38"/>
    <w:rsid w:val="007D308B"/>
    <w:rsid w:val="007D34A5"/>
    <w:rsid w:val="007D37BC"/>
    <w:rsid w:val="007D5173"/>
    <w:rsid w:val="007D78F9"/>
    <w:rsid w:val="007E13C8"/>
    <w:rsid w:val="007E1681"/>
    <w:rsid w:val="007E20A3"/>
    <w:rsid w:val="007E250D"/>
    <w:rsid w:val="007E28D4"/>
    <w:rsid w:val="007E44FC"/>
    <w:rsid w:val="007E4CFB"/>
    <w:rsid w:val="007E5190"/>
    <w:rsid w:val="007E5281"/>
    <w:rsid w:val="007E5C63"/>
    <w:rsid w:val="007E628D"/>
    <w:rsid w:val="007E7252"/>
    <w:rsid w:val="007E7744"/>
    <w:rsid w:val="007E77C7"/>
    <w:rsid w:val="007F1060"/>
    <w:rsid w:val="007F1B80"/>
    <w:rsid w:val="007F1CE3"/>
    <w:rsid w:val="007F2BE0"/>
    <w:rsid w:val="007F3C66"/>
    <w:rsid w:val="007F3F70"/>
    <w:rsid w:val="007F5F17"/>
    <w:rsid w:val="00802C19"/>
    <w:rsid w:val="00803575"/>
    <w:rsid w:val="00804DF6"/>
    <w:rsid w:val="00805601"/>
    <w:rsid w:val="00805C85"/>
    <w:rsid w:val="0080746A"/>
    <w:rsid w:val="00811927"/>
    <w:rsid w:val="0081196E"/>
    <w:rsid w:val="008130B4"/>
    <w:rsid w:val="00814BD5"/>
    <w:rsid w:val="00816699"/>
    <w:rsid w:val="008201D1"/>
    <w:rsid w:val="0082085A"/>
    <w:rsid w:val="00821AAE"/>
    <w:rsid w:val="008224FA"/>
    <w:rsid w:val="00823BCC"/>
    <w:rsid w:val="00823E32"/>
    <w:rsid w:val="008240D7"/>
    <w:rsid w:val="008243A8"/>
    <w:rsid w:val="008247A1"/>
    <w:rsid w:val="00826165"/>
    <w:rsid w:val="008276FD"/>
    <w:rsid w:val="008300E2"/>
    <w:rsid w:val="00830CB4"/>
    <w:rsid w:val="00831232"/>
    <w:rsid w:val="008319E5"/>
    <w:rsid w:val="00831D43"/>
    <w:rsid w:val="008322D5"/>
    <w:rsid w:val="00832567"/>
    <w:rsid w:val="008333DC"/>
    <w:rsid w:val="0083376D"/>
    <w:rsid w:val="00833F2F"/>
    <w:rsid w:val="0083592B"/>
    <w:rsid w:val="00836319"/>
    <w:rsid w:val="00836DC9"/>
    <w:rsid w:val="00837EBC"/>
    <w:rsid w:val="00840BA7"/>
    <w:rsid w:val="00840F52"/>
    <w:rsid w:val="00840FB8"/>
    <w:rsid w:val="00845979"/>
    <w:rsid w:val="00846B9C"/>
    <w:rsid w:val="00847498"/>
    <w:rsid w:val="008474E6"/>
    <w:rsid w:val="00847D36"/>
    <w:rsid w:val="00847F6C"/>
    <w:rsid w:val="0085051C"/>
    <w:rsid w:val="00851DDD"/>
    <w:rsid w:val="00853093"/>
    <w:rsid w:val="00854EEE"/>
    <w:rsid w:val="008551AE"/>
    <w:rsid w:val="00855685"/>
    <w:rsid w:val="0085569F"/>
    <w:rsid w:val="008558ED"/>
    <w:rsid w:val="0085616C"/>
    <w:rsid w:val="008563F9"/>
    <w:rsid w:val="00856BDE"/>
    <w:rsid w:val="0086014A"/>
    <w:rsid w:val="00861A50"/>
    <w:rsid w:val="00862A7B"/>
    <w:rsid w:val="00864081"/>
    <w:rsid w:val="00864227"/>
    <w:rsid w:val="008676FB"/>
    <w:rsid w:val="00867F7D"/>
    <w:rsid w:val="008707A9"/>
    <w:rsid w:val="008712FF"/>
    <w:rsid w:val="0087224C"/>
    <w:rsid w:val="008723A9"/>
    <w:rsid w:val="0087291F"/>
    <w:rsid w:val="0087628B"/>
    <w:rsid w:val="00876C58"/>
    <w:rsid w:val="00880359"/>
    <w:rsid w:val="00881110"/>
    <w:rsid w:val="00881439"/>
    <w:rsid w:val="00881D9D"/>
    <w:rsid w:val="00885821"/>
    <w:rsid w:val="008861A5"/>
    <w:rsid w:val="008906B3"/>
    <w:rsid w:val="0089101C"/>
    <w:rsid w:val="00891617"/>
    <w:rsid w:val="00891777"/>
    <w:rsid w:val="008918EA"/>
    <w:rsid w:val="00891F7A"/>
    <w:rsid w:val="008934BD"/>
    <w:rsid w:val="00893B8D"/>
    <w:rsid w:val="008951BF"/>
    <w:rsid w:val="00895508"/>
    <w:rsid w:val="00897F46"/>
    <w:rsid w:val="008A0210"/>
    <w:rsid w:val="008A02B8"/>
    <w:rsid w:val="008A2148"/>
    <w:rsid w:val="008A3E94"/>
    <w:rsid w:val="008A652D"/>
    <w:rsid w:val="008A7015"/>
    <w:rsid w:val="008B10E4"/>
    <w:rsid w:val="008B1168"/>
    <w:rsid w:val="008B17C0"/>
    <w:rsid w:val="008B3C27"/>
    <w:rsid w:val="008B4843"/>
    <w:rsid w:val="008B58CA"/>
    <w:rsid w:val="008B6AE5"/>
    <w:rsid w:val="008C06CD"/>
    <w:rsid w:val="008C1052"/>
    <w:rsid w:val="008C168F"/>
    <w:rsid w:val="008C2F0C"/>
    <w:rsid w:val="008C42A3"/>
    <w:rsid w:val="008C6C5A"/>
    <w:rsid w:val="008C6E81"/>
    <w:rsid w:val="008C723E"/>
    <w:rsid w:val="008C7EDD"/>
    <w:rsid w:val="008D06BA"/>
    <w:rsid w:val="008D179D"/>
    <w:rsid w:val="008D2257"/>
    <w:rsid w:val="008D281E"/>
    <w:rsid w:val="008D3556"/>
    <w:rsid w:val="008D4A1D"/>
    <w:rsid w:val="008D5199"/>
    <w:rsid w:val="008D53F8"/>
    <w:rsid w:val="008D74B2"/>
    <w:rsid w:val="008E000D"/>
    <w:rsid w:val="008E0D04"/>
    <w:rsid w:val="008E13C8"/>
    <w:rsid w:val="008E1EB4"/>
    <w:rsid w:val="008E28C0"/>
    <w:rsid w:val="008E2A31"/>
    <w:rsid w:val="008E3BD6"/>
    <w:rsid w:val="008E5ED7"/>
    <w:rsid w:val="008E63BA"/>
    <w:rsid w:val="008F09AB"/>
    <w:rsid w:val="008F168A"/>
    <w:rsid w:val="008F1BB6"/>
    <w:rsid w:val="008F2373"/>
    <w:rsid w:val="008F3912"/>
    <w:rsid w:val="008F3BB2"/>
    <w:rsid w:val="008F5699"/>
    <w:rsid w:val="008F588C"/>
    <w:rsid w:val="008F59BF"/>
    <w:rsid w:val="008F5E6E"/>
    <w:rsid w:val="008F60EC"/>
    <w:rsid w:val="008F62DB"/>
    <w:rsid w:val="008F6F1D"/>
    <w:rsid w:val="008F7638"/>
    <w:rsid w:val="00900591"/>
    <w:rsid w:val="00902183"/>
    <w:rsid w:val="0090223D"/>
    <w:rsid w:val="009024E5"/>
    <w:rsid w:val="00902FF9"/>
    <w:rsid w:val="0090376C"/>
    <w:rsid w:val="009048FD"/>
    <w:rsid w:val="009053F2"/>
    <w:rsid w:val="00907118"/>
    <w:rsid w:val="00907B3D"/>
    <w:rsid w:val="00907D1C"/>
    <w:rsid w:val="00911654"/>
    <w:rsid w:val="0091184E"/>
    <w:rsid w:val="00911EAB"/>
    <w:rsid w:val="00911EF6"/>
    <w:rsid w:val="009128D4"/>
    <w:rsid w:val="00913253"/>
    <w:rsid w:val="00915183"/>
    <w:rsid w:val="009157E2"/>
    <w:rsid w:val="00915E51"/>
    <w:rsid w:val="00916888"/>
    <w:rsid w:val="00916C81"/>
    <w:rsid w:val="009173E6"/>
    <w:rsid w:val="00917B3A"/>
    <w:rsid w:val="00917B9B"/>
    <w:rsid w:val="00917E88"/>
    <w:rsid w:val="0092200B"/>
    <w:rsid w:val="0092354F"/>
    <w:rsid w:val="009244F4"/>
    <w:rsid w:val="00924B68"/>
    <w:rsid w:val="0092563A"/>
    <w:rsid w:val="0092740B"/>
    <w:rsid w:val="009279E5"/>
    <w:rsid w:val="00927DC2"/>
    <w:rsid w:val="00932679"/>
    <w:rsid w:val="00932744"/>
    <w:rsid w:val="00932B66"/>
    <w:rsid w:val="00932D0E"/>
    <w:rsid w:val="00935C31"/>
    <w:rsid w:val="00940F9F"/>
    <w:rsid w:val="00941463"/>
    <w:rsid w:val="0094392A"/>
    <w:rsid w:val="00943962"/>
    <w:rsid w:val="00943F03"/>
    <w:rsid w:val="00944966"/>
    <w:rsid w:val="00946C1F"/>
    <w:rsid w:val="00946CD3"/>
    <w:rsid w:val="009504AA"/>
    <w:rsid w:val="00951F9C"/>
    <w:rsid w:val="00953296"/>
    <w:rsid w:val="00954F20"/>
    <w:rsid w:val="009550EE"/>
    <w:rsid w:val="00955387"/>
    <w:rsid w:val="00960835"/>
    <w:rsid w:val="00963497"/>
    <w:rsid w:val="00963D82"/>
    <w:rsid w:val="009654CC"/>
    <w:rsid w:val="0096559C"/>
    <w:rsid w:val="00971DC0"/>
    <w:rsid w:val="00972004"/>
    <w:rsid w:val="00972510"/>
    <w:rsid w:val="00974A8C"/>
    <w:rsid w:val="00976EBE"/>
    <w:rsid w:val="00977FD0"/>
    <w:rsid w:val="009805C0"/>
    <w:rsid w:val="00981043"/>
    <w:rsid w:val="00981A5B"/>
    <w:rsid w:val="00981E7B"/>
    <w:rsid w:val="00982B3B"/>
    <w:rsid w:val="00984E46"/>
    <w:rsid w:val="00984E6A"/>
    <w:rsid w:val="00984FBA"/>
    <w:rsid w:val="00985E9C"/>
    <w:rsid w:val="00985F69"/>
    <w:rsid w:val="0098641C"/>
    <w:rsid w:val="009864DD"/>
    <w:rsid w:val="009871F3"/>
    <w:rsid w:val="00987CE8"/>
    <w:rsid w:val="00987E14"/>
    <w:rsid w:val="00990C50"/>
    <w:rsid w:val="00993897"/>
    <w:rsid w:val="00993A81"/>
    <w:rsid w:val="00995394"/>
    <w:rsid w:val="00995588"/>
    <w:rsid w:val="00996819"/>
    <w:rsid w:val="00997002"/>
    <w:rsid w:val="009977EC"/>
    <w:rsid w:val="0099799F"/>
    <w:rsid w:val="009A3312"/>
    <w:rsid w:val="009A4095"/>
    <w:rsid w:val="009A5063"/>
    <w:rsid w:val="009A5277"/>
    <w:rsid w:val="009A5B90"/>
    <w:rsid w:val="009B030A"/>
    <w:rsid w:val="009B06B9"/>
    <w:rsid w:val="009B0A63"/>
    <w:rsid w:val="009B1E37"/>
    <w:rsid w:val="009B3014"/>
    <w:rsid w:val="009B4561"/>
    <w:rsid w:val="009B4B23"/>
    <w:rsid w:val="009B5682"/>
    <w:rsid w:val="009B5A52"/>
    <w:rsid w:val="009B7800"/>
    <w:rsid w:val="009B7A45"/>
    <w:rsid w:val="009B7D11"/>
    <w:rsid w:val="009B7D75"/>
    <w:rsid w:val="009C05A0"/>
    <w:rsid w:val="009C075D"/>
    <w:rsid w:val="009C11AA"/>
    <w:rsid w:val="009C200E"/>
    <w:rsid w:val="009C2442"/>
    <w:rsid w:val="009C2989"/>
    <w:rsid w:val="009C298B"/>
    <w:rsid w:val="009C2AA2"/>
    <w:rsid w:val="009C32A2"/>
    <w:rsid w:val="009C49D9"/>
    <w:rsid w:val="009C53FF"/>
    <w:rsid w:val="009C6919"/>
    <w:rsid w:val="009D0559"/>
    <w:rsid w:val="009D1016"/>
    <w:rsid w:val="009D112E"/>
    <w:rsid w:val="009D1C93"/>
    <w:rsid w:val="009D40FE"/>
    <w:rsid w:val="009D464A"/>
    <w:rsid w:val="009D61A2"/>
    <w:rsid w:val="009D7BD3"/>
    <w:rsid w:val="009E05A3"/>
    <w:rsid w:val="009E107A"/>
    <w:rsid w:val="009E29A5"/>
    <w:rsid w:val="009E2AAA"/>
    <w:rsid w:val="009E31A3"/>
    <w:rsid w:val="009E5DA4"/>
    <w:rsid w:val="009E6056"/>
    <w:rsid w:val="009E60E0"/>
    <w:rsid w:val="009E6416"/>
    <w:rsid w:val="009E6C19"/>
    <w:rsid w:val="009E6D74"/>
    <w:rsid w:val="009E6FD6"/>
    <w:rsid w:val="009E73A4"/>
    <w:rsid w:val="009F0AB4"/>
    <w:rsid w:val="009F0CD7"/>
    <w:rsid w:val="009F2C20"/>
    <w:rsid w:val="009F325B"/>
    <w:rsid w:val="009F4724"/>
    <w:rsid w:val="009F5EDA"/>
    <w:rsid w:val="009F6A7D"/>
    <w:rsid w:val="009F7226"/>
    <w:rsid w:val="009F743E"/>
    <w:rsid w:val="009F78D1"/>
    <w:rsid w:val="00A00B80"/>
    <w:rsid w:val="00A00DFC"/>
    <w:rsid w:val="00A01D04"/>
    <w:rsid w:val="00A02910"/>
    <w:rsid w:val="00A030D8"/>
    <w:rsid w:val="00A03946"/>
    <w:rsid w:val="00A03E4C"/>
    <w:rsid w:val="00A05E86"/>
    <w:rsid w:val="00A061F4"/>
    <w:rsid w:val="00A118F1"/>
    <w:rsid w:val="00A11955"/>
    <w:rsid w:val="00A14A4F"/>
    <w:rsid w:val="00A14BF1"/>
    <w:rsid w:val="00A154B4"/>
    <w:rsid w:val="00A15E35"/>
    <w:rsid w:val="00A17724"/>
    <w:rsid w:val="00A20BD5"/>
    <w:rsid w:val="00A21474"/>
    <w:rsid w:val="00A215CF"/>
    <w:rsid w:val="00A24577"/>
    <w:rsid w:val="00A24C12"/>
    <w:rsid w:val="00A26610"/>
    <w:rsid w:val="00A311B6"/>
    <w:rsid w:val="00A33186"/>
    <w:rsid w:val="00A34625"/>
    <w:rsid w:val="00A37BEE"/>
    <w:rsid w:val="00A42101"/>
    <w:rsid w:val="00A43B1F"/>
    <w:rsid w:val="00A449B6"/>
    <w:rsid w:val="00A44CA2"/>
    <w:rsid w:val="00A46698"/>
    <w:rsid w:val="00A51392"/>
    <w:rsid w:val="00A52CE7"/>
    <w:rsid w:val="00A530B8"/>
    <w:rsid w:val="00A536E7"/>
    <w:rsid w:val="00A5377A"/>
    <w:rsid w:val="00A538BA"/>
    <w:rsid w:val="00A53BC9"/>
    <w:rsid w:val="00A5429B"/>
    <w:rsid w:val="00A57BD0"/>
    <w:rsid w:val="00A60CE3"/>
    <w:rsid w:val="00A610B6"/>
    <w:rsid w:val="00A61545"/>
    <w:rsid w:val="00A615CA"/>
    <w:rsid w:val="00A61AF7"/>
    <w:rsid w:val="00A62AE1"/>
    <w:rsid w:val="00A634FE"/>
    <w:rsid w:val="00A63D76"/>
    <w:rsid w:val="00A64293"/>
    <w:rsid w:val="00A64B9F"/>
    <w:rsid w:val="00A65700"/>
    <w:rsid w:val="00A65F58"/>
    <w:rsid w:val="00A66736"/>
    <w:rsid w:val="00A674B2"/>
    <w:rsid w:val="00A71B0C"/>
    <w:rsid w:val="00A734B0"/>
    <w:rsid w:val="00A735DB"/>
    <w:rsid w:val="00A73E3C"/>
    <w:rsid w:val="00A73EF7"/>
    <w:rsid w:val="00A75108"/>
    <w:rsid w:val="00A756C9"/>
    <w:rsid w:val="00A76061"/>
    <w:rsid w:val="00A7630F"/>
    <w:rsid w:val="00A7732A"/>
    <w:rsid w:val="00A8110B"/>
    <w:rsid w:val="00A82F67"/>
    <w:rsid w:val="00A83F61"/>
    <w:rsid w:val="00A872DF"/>
    <w:rsid w:val="00A900C1"/>
    <w:rsid w:val="00A90BBC"/>
    <w:rsid w:val="00A91E88"/>
    <w:rsid w:val="00A92391"/>
    <w:rsid w:val="00A94225"/>
    <w:rsid w:val="00A94A9A"/>
    <w:rsid w:val="00A950B4"/>
    <w:rsid w:val="00A9526C"/>
    <w:rsid w:val="00A953E6"/>
    <w:rsid w:val="00A958A2"/>
    <w:rsid w:val="00A95B1C"/>
    <w:rsid w:val="00A9688E"/>
    <w:rsid w:val="00A96A59"/>
    <w:rsid w:val="00A973F5"/>
    <w:rsid w:val="00A9744C"/>
    <w:rsid w:val="00A97BC0"/>
    <w:rsid w:val="00A97E6A"/>
    <w:rsid w:val="00AA00AC"/>
    <w:rsid w:val="00AA02B0"/>
    <w:rsid w:val="00AA120D"/>
    <w:rsid w:val="00AA1FFC"/>
    <w:rsid w:val="00AA2EDA"/>
    <w:rsid w:val="00AA45F3"/>
    <w:rsid w:val="00AA4601"/>
    <w:rsid w:val="00AA4E74"/>
    <w:rsid w:val="00AA4E76"/>
    <w:rsid w:val="00AA7E16"/>
    <w:rsid w:val="00AB2573"/>
    <w:rsid w:val="00AB2A95"/>
    <w:rsid w:val="00AB2E46"/>
    <w:rsid w:val="00AB3083"/>
    <w:rsid w:val="00AB5DD1"/>
    <w:rsid w:val="00AB6A41"/>
    <w:rsid w:val="00AB72EF"/>
    <w:rsid w:val="00AB76E8"/>
    <w:rsid w:val="00AB787B"/>
    <w:rsid w:val="00AC065B"/>
    <w:rsid w:val="00AC1F42"/>
    <w:rsid w:val="00AC5350"/>
    <w:rsid w:val="00AC6386"/>
    <w:rsid w:val="00AC6EF1"/>
    <w:rsid w:val="00AD00F5"/>
    <w:rsid w:val="00AD2B20"/>
    <w:rsid w:val="00AD2B9F"/>
    <w:rsid w:val="00AE0471"/>
    <w:rsid w:val="00AE0D51"/>
    <w:rsid w:val="00AE2168"/>
    <w:rsid w:val="00AE72D7"/>
    <w:rsid w:val="00AF02F2"/>
    <w:rsid w:val="00AF0B2E"/>
    <w:rsid w:val="00AF33F4"/>
    <w:rsid w:val="00AF399B"/>
    <w:rsid w:val="00AF5852"/>
    <w:rsid w:val="00AF606B"/>
    <w:rsid w:val="00AF6BFD"/>
    <w:rsid w:val="00B013A3"/>
    <w:rsid w:val="00B015A1"/>
    <w:rsid w:val="00B018CD"/>
    <w:rsid w:val="00B03426"/>
    <w:rsid w:val="00B03461"/>
    <w:rsid w:val="00B03D1E"/>
    <w:rsid w:val="00B0471C"/>
    <w:rsid w:val="00B048A8"/>
    <w:rsid w:val="00B06A02"/>
    <w:rsid w:val="00B075BE"/>
    <w:rsid w:val="00B1067F"/>
    <w:rsid w:val="00B12804"/>
    <w:rsid w:val="00B12919"/>
    <w:rsid w:val="00B12E9B"/>
    <w:rsid w:val="00B144EA"/>
    <w:rsid w:val="00B1504A"/>
    <w:rsid w:val="00B16714"/>
    <w:rsid w:val="00B16F7A"/>
    <w:rsid w:val="00B176CF"/>
    <w:rsid w:val="00B221F8"/>
    <w:rsid w:val="00B2257B"/>
    <w:rsid w:val="00B22B97"/>
    <w:rsid w:val="00B25CED"/>
    <w:rsid w:val="00B26774"/>
    <w:rsid w:val="00B27246"/>
    <w:rsid w:val="00B27FB7"/>
    <w:rsid w:val="00B30384"/>
    <w:rsid w:val="00B32A5A"/>
    <w:rsid w:val="00B346E0"/>
    <w:rsid w:val="00B368C3"/>
    <w:rsid w:val="00B40403"/>
    <w:rsid w:val="00B40539"/>
    <w:rsid w:val="00B413F6"/>
    <w:rsid w:val="00B41822"/>
    <w:rsid w:val="00B42B0B"/>
    <w:rsid w:val="00B42CF9"/>
    <w:rsid w:val="00B440C2"/>
    <w:rsid w:val="00B44BA7"/>
    <w:rsid w:val="00B451AA"/>
    <w:rsid w:val="00B455E9"/>
    <w:rsid w:val="00B46A8E"/>
    <w:rsid w:val="00B4728F"/>
    <w:rsid w:val="00B477EC"/>
    <w:rsid w:val="00B52402"/>
    <w:rsid w:val="00B52D14"/>
    <w:rsid w:val="00B564FF"/>
    <w:rsid w:val="00B60C40"/>
    <w:rsid w:val="00B61E77"/>
    <w:rsid w:val="00B630B0"/>
    <w:rsid w:val="00B64186"/>
    <w:rsid w:val="00B64A55"/>
    <w:rsid w:val="00B669A5"/>
    <w:rsid w:val="00B6712F"/>
    <w:rsid w:val="00B67EDA"/>
    <w:rsid w:val="00B7051B"/>
    <w:rsid w:val="00B70D5C"/>
    <w:rsid w:val="00B70EC4"/>
    <w:rsid w:val="00B71008"/>
    <w:rsid w:val="00B72EB0"/>
    <w:rsid w:val="00B72F93"/>
    <w:rsid w:val="00B74561"/>
    <w:rsid w:val="00B7457F"/>
    <w:rsid w:val="00B74A21"/>
    <w:rsid w:val="00B74CB6"/>
    <w:rsid w:val="00B77979"/>
    <w:rsid w:val="00B77FA3"/>
    <w:rsid w:val="00B80723"/>
    <w:rsid w:val="00B80C4D"/>
    <w:rsid w:val="00B80D67"/>
    <w:rsid w:val="00B80E58"/>
    <w:rsid w:val="00B8194D"/>
    <w:rsid w:val="00B81D0E"/>
    <w:rsid w:val="00B81D58"/>
    <w:rsid w:val="00B82648"/>
    <w:rsid w:val="00B8374B"/>
    <w:rsid w:val="00B838F6"/>
    <w:rsid w:val="00B85932"/>
    <w:rsid w:val="00B871D5"/>
    <w:rsid w:val="00B87B38"/>
    <w:rsid w:val="00B90C41"/>
    <w:rsid w:val="00B90F85"/>
    <w:rsid w:val="00B91B1F"/>
    <w:rsid w:val="00B91FA6"/>
    <w:rsid w:val="00B9296D"/>
    <w:rsid w:val="00B929F7"/>
    <w:rsid w:val="00B9384F"/>
    <w:rsid w:val="00B939C0"/>
    <w:rsid w:val="00B9471D"/>
    <w:rsid w:val="00B95C64"/>
    <w:rsid w:val="00B967C4"/>
    <w:rsid w:val="00B97274"/>
    <w:rsid w:val="00B975CB"/>
    <w:rsid w:val="00B978DF"/>
    <w:rsid w:val="00BA0054"/>
    <w:rsid w:val="00BA0318"/>
    <w:rsid w:val="00BA0358"/>
    <w:rsid w:val="00BA07A9"/>
    <w:rsid w:val="00BA1B05"/>
    <w:rsid w:val="00BA39A6"/>
    <w:rsid w:val="00BA3B1F"/>
    <w:rsid w:val="00BA5511"/>
    <w:rsid w:val="00BA6060"/>
    <w:rsid w:val="00BA6CA0"/>
    <w:rsid w:val="00BA6EEA"/>
    <w:rsid w:val="00BB4D7F"/>
    <w:rsid w:val="00BB54A1"/>
    <w:rsid w:val="00BB55BD"/>
    <w:rsid w:val="00BB6E33"/>
    <w:rsid w:val="00BB6E7D"/>
    <w:rsid w:val="00BC0CB4"/>
    <w:rsid w:val="00BC19A9"/>
    <w:rsid w:val="00BC209E"/>
    <w:rsid w:val="00BC31D4"/>
    <w:rsid w:val="00BC4167"/>
    <w:rsid w:val="00BC4347"/>
    <w:rsid w:val="00BC4A6D"/>
    <w:rsid w:val="00BC58F0"/>
    <w:rsid w:val="00BC6940"/>
    <w:rsid w:val="00BD0834"/>
    <w:rsid w:val="00BD12CC"/>
    <w:rsid w:val="00BD19A9"/>
    <w:rsid w:val="00BD2978"/>
    <w:rsid w:val="00BD2AE0"/>
    <w:rsid w:val="00BD3030"/>
    <w:rsid w:val="00BD30A2"/>
    <w:rsid w:val="00BD3345"/>
    <w:rsid w:val="00BD3A62"/>
    <w:rsid w:val="00BD4C99"/>
    <w:rsid w:val="00BD6481"/>
    <w:rsid w:val="00BE02BD"/>
    <w:rsid w:val="00BE0341"/>
    <w:rsid w:val="00BE0D25"/>
    <w:rsid w:val="00BE1141"/>
    <w:rsid w:val="00BE1406"/>
    <w:rsid w:val="00BE2300"/>
    <w:rsid w:val="00BE5ADD"/>
    <w:rsid w:val="00BE5D3F"/>
    <w:rsid w:val="00BE6ED2"/>
    <w:rsid w:val="00BE6FDB"/>
    <w:rsid w:val="00BE75BE"/>
    <w:rsid w:val="00BE7BB0"/>
    <w:rsid w:val="00BF08B1"/>
    <w:rsid w:val="00BF2900"/>
    <w:rsid w:val="00BF2D25"/>
    <w:rsid w:val="00BF315E"/>
    <w:rsid w:val="00BF5CBF"/>
    <w:rsid w:val="00BF602A"/>
    <w:rsid w:val="00BF6692"/>
    <w:rsid w:val="00C00637"/>
    <w:rsid w:val="00C019F8"/>
    <w:rsid w:val="00C0228D"/>
    <w:rsid w:val="00C0257E"/>
    <w:rsid w:val="00C02665"/>
    <w:rsid w:val="00C0335E"/>
    <w:rsid w:val="00C046F5"/>
    <w:rsid w:val="00C04EB5"/>
    <w:rsid w:val="00C05531"/>
    <w:rsid w:val="00C05D27"/>
    <w:rsid w:val="00C06879"/>
    <w:rsid w:val="00C07935"/>
    <w:rsid w:val="00C07A81"/>
    <w:rsid w:val="00C10E7C"/>
    <w:rsid w:val="00C11AE9"/>
    <w:rsid w:val="00C11DEE"/>
    <w:rsid w:val="00C11E7C"/>
    <w:rsid w:val="00C120FF"/>
    <w:rsid w:val="00C14418"/>
    <w:rsid w:val="00C17CA6"/>
    <w:rsid w:val="00C17FB3"/>
    <w:rsid w:val="00C2101F"/>
    <w:rsid w:val="00C21119"/>
    <w:rsid w:val="00C21E17"/>
    <w:rsid w:val="00C22308"/>
    <w:rsid w:val="00C22AA8"/>
    <w:rsid w:val="00C22B01"/>
    <w:rsid w:val="00C24560"/>
    <w:rsid w:val="00C24F89"/>
    <w:rsid w:val="00C250E0"/>
    <w:rsid w:val="00C30766"/>
    <w:rsid w:val="00C30C78"/>
    <w:rsid w:val="00C31381"/>
    <w:rsid w:val="00C330FE"/>
    <w:rsid w:val="00C332FD"/>
    <w:rsid w:val="00C3399B"/>
    <w:rsid w:val="00C33ABA"/>
    <w:rsid w:val="00C3470C"/>
    <w:rsid w:val="00C34A0F"/>
    <w:rsid w:val="00C34BCC"/>
    <w:rsid w:val="00C352C9"/>
    <w:rsid w:val="00C35387"/>
    <w:rsid w:val="00C357FD"/>
    <w:rsid w:val="00C40BD7"/>
    <w:rsid w:val="00C4175D"/>
    <w:rsid w:val="00C41A87"/>
    <w:rsid w:val="00C41BEC"/>
    <w:rsid w:val="00C42808"/>
    <w:rsid w:val="00C43456"/>
    <w:rsid w:val="00C44B58"/>
    <w:rsid w:val="00C47129"/>
    <w:rsid w:val="00C50036"/>
    <w:rsid w:val="00C50E5F"/>
    <w:rsid w:val="00C51D0D"/>
    <w:rsid w:val="00C51E97"/>
    <w:rsid w:val="00C54746"/>
    <w:rsid w:val="00C55195"/>
    <w:rsid w:val="00C560CA"/>
    <w:rsid w:val="00C570E3"/>
    <w:rsid w:val="00C57275"/>
    <w:rsid w:val="00C57393"/>
    <w:rsid w:val="00C5757E"/>
    <w:rsid w:val="00C576A8"/>
    <w:rsid w:val="00C621A2"/>
    <w:rsid w:val="00C632E9"/>
    <w:rsid w:val="00C639C3"/>
    <w:rsid w:val="00C64810"/>
    <w:rsid w:val="00C6653C"/>
    <w:rsid w:val="00C66CD8"/>
    <w:rsid w:val="00C7071A"/>
    <w:rsid w:val="00C70D99"/>
    <w:rsid w:val="00C740C0"/>
    <w:rsid w:val="00C74750"/>
    <w:rsid w:val="00C74E84"/>
    <w:rsid w:val="00C7678D"/>
    <w:rsid w:val="00C80287"/>
    <w:rsid w:val="00C8056B"/>
    <w:rsid w:val="00C80ABA"/>
    <w:rsid w:val="00C81551"/>
    <w:rsid w:val="00C822F2"/>
    <w:rsid w:val="00C825EC"/>
    <w:rsid w:val="00C83151"/>
    <w:rsid w:val="00C83362"/>
    <w:rsid w:val="00C83BAE"/>
    <w:rsid w:val="00C85505"/>
    <w:rsid w:val="00C87261"/>
    <w:rsid w:val="00C8755B"/>
    <w:rsid w:val="00C87F3D"/>
    <w:rsid w:val="00C90085"/>
    <w:rsid w:val="00C907B6"/>
    <w:rsid w:val="00C90B9E"/>
    <w:rsid w:val="00C931B1"/>
    <w:rsid w:val="00C9436D"/>
    <w:rsid w:val="00C94A7B"/>
    <w:rsid w:val="00C96525"/>
    <w:rsid w:val="00C96B89"/>
    <w:rsid w:val="00CA0500"/>
    <w:rsid w:val="00CA1570"/>
    <w:rsid w:val="00CA1E54"/>
    <w:rsid w:val="00CA2927"/>
    <w:rsid w:val="00CA34D5"/>
    <w:rsid w:val="00CA6149"/>
    <w:rsid w:val="00CA6AC2"/>
    <w:rsid w:val="00CA6F20"/>
    <w:rsid w:val="00CB3A1D"/>
    <w:rsid w:val="00CB52B7"/>
    <w:rsid w:val="00CB53A3"/>
    <w:rsid w:val="00CB5AC5"/>
    <w:rsid w:val="00CB611A"/>
    <w:rsid w:val="00CB61E4"/>
    <w:rsid w:val="00CB6B7F"/>
    <w:rsid w:val="00CB79C4"/>
    <w:rsid w:val="00CC3790"/>
    <w:rsid w:val="00CC4531"/>
    <w:rsid w:val="00CC4C59"/>
    <w:rsid w:val="00CC5FF6"/>
    <w:rsid w:val="00CC63E2"/>
    <w:rsid w:val="00CC6458"/>
    <w:rsid w:val="00CC7655"/>
    <w:rsid w:val="00CC76D3"/>
    <w:rsid w:val="00CC773F"/>
    <w:rsid w:val="00CD038D"/>
    <w:rsid w:val="00CD1B49"/>
    <w:rsid w:val="00CD3A83"/>
    <w:rsid w:val="00CD4B53"/>
    <w:rsid w:val="00CD587B"/>
    <w:rsid w:val="00CD6392"/>
    <w:rsid w:val="00CD69F1"/>
    <w:rsid w:val="00CD7812"/>
    <w:rsid w:val="00CE3083"/>
    <w:rsid w:val="00CE35D8"/>
    <w:rsid w:val="00CE45D7"/>
    <w:rsid w:val="00CE47B2"/>
    <w:rsid w:val="00CE54F3"/>
    <w:rsid w:val="00CE5778"/>
    <w:rsid w:val="00CE5905"/>
    <w:rsid w:val="00CE6387"/>
    <w:rsid w:val="00CF057A"/>
    <w:rsid w:val="00CF6E70"/>
    <w:rsid w:val="00D00179"/>
    <w:rsid w:val="00D02A98"/>
    <w:rsid w:val="00D038B1"/>
    <w:rsid w:val="00D069B6"/>
    <w:rsid w:val="00D072D6"/>
    <w:rsid w:val="00D1237A"/>
    <w:rsid w:val="00D12491"/>
    <w:rsid w:val="00D12780"/>
    <w:rsid w:val="00D14B12"/>
    <w:rsid w:val="00D14B20"/>
    <w:rsid w:val="00D157C7"/>
    <w:rsid w:val="00D16893"/>
    <w:rsid w:val="00D17930"/>
    <w:rsid w:val="00D213D7"/>
    <w:rsid w:val="00D224DF"/>
    <w:rsid w:val="00D22526"/>
    <w:rsid w:val="00D22E37"/>
    <w:rsid w:val="00D268FC"/>
    <w:rsid w:val="00D27A29"/>
    <w:rsid w:val="00D304F4"/>
    <w:rsid w:val="00D30822"/>
    <w:rsid w:val="00D30D5B"/>
    <w:rsid w:val="00D30F55"/>
    <w:rsid w:val="00D3122A"/>
    <w:rsid w:val="00D31E98"/>
    <w:rsid w:val="00D322BC"/>
    <w:rsid w:val="00D322C2"/>
    <w:rsid w:val="00D3288B"/>
    <w:rsid w:val="00D33D06"/>
    <w:rsid w:val="00D3474F"/>
    <w:rsid w:val="00D36690"/>
    <w:rsid w:val="00D36B6B"/>
    <w:rsid w:val="00D3728F"/>
    <w:rsid w:val="00D37F5E"/>
    <w:rsid w:val="00D40AF8"/>
    <w:rsid w:val="00D41A9F"/>
    <w:rsid w:val="00D4315F"/>
    <w:rsid w:val="00D45D4F"/>
    <w:rsid w:val="00D471B8"/>
    <w:rsid w:val="00D4744B"/>
    <w:rsid w:val="00D510A8"/>
    <w:rsid w:val="00D513D6"/>
    <w:rsid w:val="00D521C5"/>
    <w:rsid w:val="00D52492"/>
    <w:rsid w:val="00D5424E"/>
    <w:rsid w:val="00D54417"/>
    <w:rsid w:val="00D54821"/>
    <w:rsid w:val="00D551A6"/>
    <w:rsid w:val="00D55B54"/>
    <w:rsid w:val="00D55C80"/>
    <w:rsid w:val="00D55DF1"/>
    <w:rsid w:val="00D562DB"/>
    <w:rsid w:val="00D56358"/>
    <w:rsid w:val="00D57058"/>
    <w:rsid w:val="00D57329"/>
    <w:rsid w:val="00D61A1A"/>
    <w:rsid w:val="00D62455"/>
    <w:rsid w:val="00D66459"/>
    <w:rsid w:val="00D6649E"/>
    <w:rsid w:val="00D669D3"/>
    <w:rsid w:val="00D66D60"/>
    <w:rsid w:val="00D676CB"/>
    <w:rsid w:val="00D67CD9"/>
    <w:rsid w:val="00D67D33"/>
    <w:rsid w:val="00D7196C"/>
    <w:rsid w:val="00D7240D"/>
    <w:rsid w:val="00D72C62"/>
    <w:rsid w:val="00D74541"/>
    <w:rsid w:val="00D7505A"/>
    <w:rsid w:val="00D779BC"/>
    <w:rsid w:val="00D800FC"/>
    <w:rsid w:val="00D80588"/>
    <w:rsid w:val="00D8146A"/>
    <w:rsid w:val="00D82871"/>
    <w:rsid w:val="00D85FF6"/>
    <w:rsid w:val="00D91017"/>
    <w:rsid w:val="00D9111F"/>
    <w:rsid w:val="00D93FF3"/>
    <w:rsid w:val="00D947E5"/>
    <w:rsid w:val="00D94EA3"/>
    <w:rsid w:val="00D959E9"/>
    <w:rsid w:val="00DA1E72"/>
    <w:rsid w:val="00DA2CFB"/>
    <w:rsid w:val="00DA42A4"/>
    <w:rsid w:val="00DA644E"/>
    <w:rsid w:val="00DA65A2"/>
    <w:rsid w:val="00DA684F"/>
    <w:rsid w:val="00DA723B"/>
    <w:rsid w:val="00DA7FAB"/>
    <w:rsid w:val="00DA7FF0"/>
    <w:rsid w:val="00DB0ACE"/>
    <w:rsid w:val="00DB10AA"/>
    <w:rsid w:val="00DB30FB"/>
    <w:rsid w:val="00DB3219"/>
    <w:rsid w:val="00DB42BA"/>
    <w:rsid w:val="00DB45B9"/>
    <w:rsid w:val="00DB584F"/>
    <w:rsid w:val="00DB5E00"/>
    <w:rsid w:val="00DB64CE"/>
    <w:rsid w:val="00DB7276"/>
    <w:rsid w:val="00DB7748"/>
    <w:rsid w:val="00DC1C5C"/>
    <w:rsid w:val="00DC31D6"/>
    <w:rsid w:val="00DC4042"/>
    <w:rsid w:val="00DC5620"/>
    <w:rsid w:val="00DC5E9D"/>
    <w:rsid w:val="00DC692A"/>
    <w:rsid w:val="00DC726E"/>
    <w:rsid w:val="00DC749F"/>
    <w:rsid w:val="00DD0F54"/>
    <w:rsid w:val="00DD2BFD"/>
    <w:rsid w:val="00DD304F"/>
    <w:rsid w:val="00DD316E"/>
    <w:rsid w:val="00DD347E"/>
    <w:rsid w:val="00DD3D77"/>
    <w:rsid w:val="00DD4311"/>
    <w:rsid w:val="00DD6F76"/>
    <w:rsid w:val="00DD6FE0"/>
    <w:rsid w:val="00DD7122"/>
    <w:rsid w:val="00DE07DE"/>
    <w:rsid w:val="00DE19D0"/>
    <w:rsid w:val="00DE3714"/>
    <w:rsid w:val="00DE3A81"/>
    <w:rsid w:val="00DE5EBF"/>
    <w:rsid w:val="00DE6A8C"/>
    <w:rsid w:val="00DE6FC1"/>
    <w:rsid w:val="00DE7AA8"/>
    <w:rsid w:val="00DF028A"/>
    <w:rsid w:val="00DF46A1"/>
    <w:rsid w:val="00DF4C64"/>
    <w:rsid w:val="00DF4E8D"/>
    <w:rsid w:val="00DF50C8"/>
    <w:rsid w:val="00DF7491"/>
    <w:rsid w:val="00E00EE3"/>
    <w:rsid w:val="00E01185"/>
    <w:rsid w:val="00E01A3A"/>
    <w:rsid w:val="00E03850"/>
    <w:rsid w:val="00E04339"/>
    <w:rsid w:val="00E0516F"/>
    <w:rsid w:val="00E06126"/>
    <w:rsid w:val="00E066BC"/>
    <w:rsid w:val="00E06809"/>
    <w:rsid w:val="00E07AFB"/>
    <w:rsid w:val="00E10212"/>
    <w:rsid w:val="00E11788"/>
    <w:rsid w:val="00E11C64"/>
    <w:rsid w:val="00E11C9D"/>
    <w:rsid w:val="00E12068"/>
    <w:rsid w:val="00E12D0C"/>
    <w:rsid w:val="00E133E5"/>
    <w:rsid w:val="00E134D8"/>
    <w:rsid w:val="00E13CEC"/>
    <w:rsid w:val="00E14503"/>
    <w:rsid w:val="00E152AB"/>
    <w:rsid w:val="00E15743"/>
    <w:rsid w:val="00E16459"/>
    <w:rsid w:val="00E17D6F"/>
    <w:rsid w:val="00E22BB0"/>
    <w:rsid w:val="00E24F17"/>
    <w:rsid w:val="00E25D79"/>
    <w:rsid w:val="00E2712C"/>
    <w:rsid w:val="00E27238"/>
    <w:rsid w:val="00E272DB"/>
    <w:rsid w:val="00E27CF6"/>
    <w:rsid w:val="00E27D61"/>
    <w:rsid w:val="00E33816"/>
    <w:rsid w:val="00E35784"/>
    <w:rsid w:val="00E36F44"/>
    <w:rsid w:val="00E371E9"/>
    <w:rsid w:val="00E4046F"/>
    <w:rsid w:val="00E409AB"/>
    <w:rsid w:val="00E41930"/>
    <w:rsid w:val="00E42131"/>
    <w:rsid w:val="00E427CF"/>
    <w:rsid w:val="00E430B1"/>
    <w:rsid w:val="00E43129"/>
    <w:rsid w:val="00E438FF"/>
    <w:rsid w:val="00E448D7"/>
    <w:rsid w:val="00E44EBA"/>
    <w:rsid w:val="00E5156C"/>
    <w:rsid w:val="00E5488F"/>
    <w:rsid w:val="00E54C50"/>
    <w:rsid w:val="00E54F22"/>
    <w:rsid w:val="00E55205"/>
    <w:rsid w:val="00E55B58"/>
    <w:rsid w:val="00E57100"/>
    <w:rsid w:val="00E573F3"/>
    <w:rsid w:val="00E600CA"/>
    <w:rsid w:val="00E62CD6"/>
    <w:rsid w:val="00E62F20"/>
    <w:rsid w:val="00E63889"/>
    <w:rsid w:val="00E65CE5"/>
    <w:rsid w:val="00E65E2A"/>
    <w:rsid w:val="00E663B0"/>
    <w:rsid w:val="00E67399"/>
    <w:rsid w:val="00E67BA2"/>
    <w:rsid w:val="00E67D08"/>
    <w:rsid w:val="00E70CBA"/>
    <w:rsid w:val="00E70EEE"/>
    <w:rsid w:val="00E716AC"/>
    <w:rsid w:val="00E71F93"/>
    <w:rsid w:val="00E7203E"/>
    <w:rsid w:val="00E72455"/>
    <w:rsid w:val="00E7337C"/>
    <w:rsid w:val="00E73A12"/>
    <w:rsid w:val="00E73F7F"/>
    <w:rsid w:val="00E7591A"/>
    <w:rsid w:val="00E76AF8"/>
    <w:rsid w:val="00E800C5"/>
    <w:rsid w:val="00E80289"/>
    <w:rsid w:val="00E81233"/>
    <w:rsid w:val="00E81E66"/>
    <w:rsid w:val="00E821E2"/>
    <w:rsid w:val="00E82B67"/>
    <w:rsid w:val="00E8526B"/>
    <w:rsid w:val="00E852A8"/>
    <w:rsid w:val="00E90067"/>
    <w:rsid w:val="00E902AB"/>
    <w:rsid w:val="00E909F8"/>
    <w:rsid w:val="00E90D90"/>
    <w:rsid w:val="00E920A4"/>
    <w:rsid w:val="00E947B5"/>
    <w:rsid w:val="00E94870"/>
    <w:rsid w:val="00E95550"/>
    <w:rsid w:val="00E97051"/>
    <w:rsid w:val="00E97232"/>
    <w:rsid w:val="00E975B6"/>
    <w:rsid w:val="00EA1046"/>
    <w:rsid w:val="00EA1637"/>
    <w:rsid w:val="00EA35AB"/>
    <w:rsid w:val="00EA3BEC"/>
    <w:rsid w:val="00EA46A2"/>
    <w:rsid w:val="00EA495D"/>
    <w:rsid w:val="00EA58BE"/>
    <w:rsid w:val="00EA6521"/>
    <w:rsid w:val="00EA722F"/>
    <w:rsid w:val="00EB0A87"/>
    <w:rsid w:val="00EB0EEC"/>
    <w:rsid w:val="00EB1D0B"/>
    <w:rsid w:val="00EB22DD"/>
    <w:rsid w:val="00EB2406"/>
    <w:rsid w:val="00EB279B"/>
    <w:rsid w:val="00EB32CB"/>
    <w:rsid w:val="00EB3BA7"/>
    <w:rsid w:val="00EB3D51"/>
    <w:rsid w:val="00EB4E23"/>
    <w:rsid w:val="00EB4F6B"/>
    <w:rsid w:val="00EB5401"/>
    <w:rsid w:val="00EB7BAE"/>
    <w:rsid w:val="00EC1626"/>
    <w:rsid w:val="00EC1927"/>
    <w:rsid w:val="00EC1F36"/>
    <w:rsid w:val="00EC55DF"/>
    <w:rsid w:val="00EC716F"/>
    <w:rsid w:val="00EC76B5"/>
    <w:rsid w:val="00EC7985"/>
    <w:rsid w:val="00ED0483"/>
    <w:rsid w:val="00ED07A3"/>
    <w:rsid w:val="00ED0C58"/>
    <w:rsid w:val="00ED1262"/>
    <w:rsid w:val="00ED2F3F"/>
    <w:rsid w:val="00ED5273"/>
    <w:rsid w:val="00ED5E3C"/>
    <w:rsid w:val="00ED6C7D"/>
    <w:rsid w:val="00EE127C"/>
    <w:rsid w:val="00EE3D72"/>
    <w:rsid w:val="00EE4C47"/>
    <w:rsid w:val="00EE5937"/>
    <w:rsid w:val="00EF021B"/>
    <w:rsid w:val="00EF0628"/>
    <w:rsid w:val="00EF1C9A"/>
    <w:rsid w:val="00EF5480"/>
    <w:rsid w:val="00EF6FAE"/>
    <w:rsid w:val="00EF7316"/>
    <w:rsid w:val="00F007D2"/>
    <w:rsid w:val="00F01CE0"/>
    <w:rsid w:val="00F062DD"/>
    <w:rsid w:val="00F07D83"/>
    <w:rsid w:val="00F105A9"/>
    <w:rsid w:val="00F1390F"/>
    <w:rsid w:val="00F13B39"/>
    <w:rsid w:val="00F14352"/>
    <w:rsid w:val="00F160BD"/>
    <w:rsid w:val="00F1654E"/>
    <w:rsid w:val="00F17606"/>
    <w:rsid w:val="00F201A6"/>
    <w:rsid w:val="00F20E6E"/>
    <w:rsid w:val="00F21807"/>
    <w:rsid w:val="00F21934"/>
    <w:rsid w:val="00F23485"/>
    <w:rsid w:val="00F2423A"/>
    <w:rsid w:val="00F24520"/>
    <w:rsid w:val="00F256CD"/>
    <w:rsid w:val="00F26628"/>
    <w:rsid w:val="00F26D32"/>
    <w:rsid w:val="00F26DA0"/>
    <w:rsid w:val="00F27754"/>
    <w:rsid w:val="00F306B3"/>
    <w:rsid w:val="00F31D43"/>
    <w:rsid w:val="00F3261F"/>
    <w:rsid w:val="00F32A2D"/>
    <w:rsid w:val="00F33204"/>
    <w:rsid w:val="00F33F1B"/>
    <w:rsid w:val="00F34FC0"/>
    <w:rsid w:val="00F357A2"/>
    <w:rsid w:val="00F358A6"/>
    <w:rsid w:val="00F35FB7"/>
    <w:rsid w:val="00F35FFA"/>
    <w:rsid w:val="00F40BD3"/>
    <w:rsid w:val="00F413FF"/>
    <w:rsid w:val="00F435A3"/>
    <w:rsid w:val="00F46BD0"/>
    <w:rsid w:val="00F502EF"/>
    <w:rsid w:val="00F50F4B"/>
    <w:rsid w:val="00F51303"/>
    <w:rsid w:val="00F5160F"/>
    <w:rsid w:val="00F54A5E"/>
    <w:rsid w:val="00F56A84"/>
    <w:rsid w:val="00F57D6C"/>
    <w:rsid w:val="00F62286"/>
    <w:rsid w:val="00F62694"/>
    <w:rsid w:val="00F62D2A"/>
    <w:rsid w:val="00F63356"/>
    <w:rsid w:val="00F636FD"/>
    <w:rsid w:val="00F639D5"/>
    <w:rsid w:val="00F64082"/>
    <w:rsid w:val="00F64F86"/>
    <w:rsid w:val="00F65102"/>
    <w:rsid w:val="00F6698A"/>
    <w:rsid w:val="00F700AB"/>
    <w:rsid w:val="00F70508"/>
    <w:rsid w:val="00F71859"/>
    <w:rsid w:val="00F71F34"/>
    <w:rsid w:val="00F73462"/>
    <w:rsid w:val="00F740E3"/>
    <w:rsid w:val="00F74C0E"/>
    <w:rsid w:val="00F76E3E"/>
    <w:rsid w:val="00F77DB2"/>
    <w:rsid w:val="00F85537"/>
    <w:rsid w:val="00F86B0D"/>
    <w:rsid w:val="00F8747B"/>
    <w:rsid w:val="00F91EDE"/>
    <w:rsid w:val="00F92EA8"/>
    <w:rsid w:val="00F95DB4"/>
    <w:rsid w:val="00F97819"/>
    <w:rsid w:val="00FA0B1F"/>
    <w:rsid w:val="00FA0C74"/>
    <w:rsid w:val="00FA178A"/>
    <w:rsid w:val="00FA1F0F"/>
    <w:rsid w:val="00FA2B3F"/>
    <w:rsid w:val="00FA2B48"/>
    <w:rsid w:val="00FA3E8D"/>
    <w:rsid w:val="00FA4EBD"/>
    <w:rsid w:val="00FA4EE7"/>
    <w:rsid w:val="00FA501F"/>
    <w:rsid w:val="00FA50CC"/>
    <w:rsid w:val="00FA51A1"/>
    <w:rsid w:val="00FA6BC9"/>
    <w:rsid w:val="00FA7E1D"/>
    <w:rsid w:val="00FA7F0D"/>
    <w:rsid w:val="00FB0127"/>
    <w:rsid w:val="00FB0D84"/>
    <w:rsid w:val="00FB17D3"/>
    <w:rsid w:val="00FB30A5"/>
    <w:rsid w:val="00FB3324"/>
    <w:rsid w:val="00FB492E"/>
    <w:rsid w:val="00FB55C8"/>
    <w:rsid w:val="00FB5F8F"/>
    <w:rsid w:val="00FB6BB5"/>
    <w:rsid w:val="00FB6FD0"/>
    <w:rsid w:val="00FC09D1"/>
    <w:rsid w:val="00FC2E27"/>
    <w:rsid w:val="00FC30B6"/>
    <w:rsid w:val="00FC3327"/>
    <w:rsid w:val="00FC37E9"/>
    <w:rsid w:val="00FC5669"/>
    <w:rsid w:val="00FC7807"/>
    <w:rsid w:val="00FD0638"/>
    <w:rsid w:val="00FD3538"/>
    <w:rsid w:val="00FD428A"/>
    <w:rsid w:val="00FD4B8C"/>
    <w:rsid w:val="00FD626C"/>
    <w:rsid w:val="00FD65D4"/>
    <w:rsid w:val="00FD6F4B"/>
    <w:rsid w:val="00FE0347"/>
    <w:rsid w:val="00FE1953"/>
    <w:rsid w:val="00FE24DE"/>
    <w:rsid w:val="00FE251A"/>
    <w:rsid w:val="00FE2C37"/>
    <w:rsid w:val="00FE2C94"/>
    <w:rsid w:val="00FE2F45"/>
    <w:rsid w:val="00FE33A7"/>
    <w:rsid w:val="00FE46F9"/>
    <w:rsid w:val="00FE4A65"/>
    <w:rsid w:val="00FE4CAF"/>
    <w:rsid w:val="00FE5E6D"/>
    <w:rsid w:val="00FE64DC"/>
    <w:rsid w:val="00FE6B33"/>
    <w:rsid w:val="00FE6E60"/>
    <w:rsid w:val="00FF033E"/>
    <w:rsid w:val="00FF0619"/>
    <w:rsid w:val="00FF0861"/>
    <w:rsid w:val="00FF093F"/>
    <w:rsid w:val="00FF0A1B"/>
    <w:rsid w:val="00FF0CD9"/>
    <w:rsid w:val="00FF0D81"/>
    <w:rsid w:val="00FF12B6"/>
    <w:rsid w:val="00FF1F4C"/>
    <w:rsid w:val="00FF2007"/>
    <w:rsid w:val="00FF2238"/>
    <w:rsid w:val="00FF390E"/>
    <w:rsid w:val="00FF4558"/>
    <w:rsid w:val="00FF4E2B"/>
    <w:rsid w:val="00FF55F1"/>
    <w:rsid w:val="00FF57B8"/>
    <w:rsid w:val="00FF590D"/>
    <w:rsid w:val="00FF76D4"/>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7DA8"/>
  <w15:docId w15:val="{BE208D16-EDF8-4FD9-AAA1-5066EA7A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F4"/>
  </w:style>
  <w:style w:type="paragraph" w:styleId="Heading1">
    <w:name w:val="heading 1"/>
    <w:basedOn w:val="Normal"/>
    <w:next w:val="Normal"/>
    <w:link w:val="Heading1Char"/>
    <w:uiPriority w:val="9"/>
    <w:qFormat/>
    <w:rsid w:val="00A73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1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88F"/>
    <w:pPr>
      <w:ind w:left="720"/>
      <w:contextualSpacing/>
    </w:pPr>
  </w:style>
  <w:style w:type="character" w:styleId="Hyperlink">
    <w:name w:val="Hyperlink"/>
    <w:basedOn w:val="DefaultParagraphFont"/>
    <w:uiPriority w:val="99"/>
    <w:unhideWhenUsed/>
    <w:rsid w:val="001A0B0C"/>
    <w:rPr>
      <w:color w:val="0563C1" w:themeColor="hyperlink"/>
      <w:u w:val="single"/>
    </w:rPr>
  </w:style>
  <w:style w:type="character" w:styleId="UnresolvedMention">
    <w:name w:val="Unresolved Mention"/>
    <w:basedOn w:val="DefaultParagraphFont"/>
    <w:uiPriority w:val="99"/>
    <w:semiHidden/>
    <w:unhideWhenUsed/>
    <w:rsid w:val="001A0B0C"/>
    <w:rPr>
      <w:color w:val="605E5C"/>
      <w:shd w:val="clear" w:color="auto" w:fill="E1DFDD"/>
    </w:rPr>
  </w:style>
  <w:style w:type="character" w:styleId="FollowedHyperlink">
    <w:name w:val="FollowedHyperlink"/>
    <w:basedOn w:val="DefaultParagraphFont"/>
    <w:uiPriority w:val="99"/>
    <w:semiHidden/>
    <w:unhideWhenUsed/>
    <w:rsid w:val="00C57275"/>
    <w:rPr>
      <w:color w:val="954F72" w:themeColor="followedHyperlink"/>
      <w:u w:val="single"/>
    </w:rPr>
  </w:style>
  <w:style w:type="paragraph" w:styleId="Header">
    <w:name w:val="header"/>
    <w:basedOn w:val="Normal"/>
    <w:link w:val="HeaderChar"/>
    <w:uiPriority w:val="99"/>
    <w:unhideWhenUsed/>
    <w:rsid w:val="00AB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E8"/>
  </w:style>
  <w:style w:type="paragraph" w:styleId="Footer">
    <w:name w:val="footer"/>
    <w:basedOn w:val="Normal"/>
    <w:link w:val="FooterChar"/>
    <w:uiPriority w:val="99"/>
    <w:unhideWhenUsed/>
    <w:rsid w:val="00AB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E8"/>
  </w:style>
  <w:style w:type="paragraph" w:styleId="NormalWeb">
    <w:name w:val="Normal (Web)"/>
    <w:basedOn w:val="Normal"/>
    <w:uiPriority w:val="99"/>
    <w:unhideWhenUsed/>
    <w:rsid w:val="004C06C9"/>
    <w:rPr>
      <w:rFonts w:ascii="Times New Roman" w:hAnsi="Times New Roman" w:cs="Times New Roman"/>
      <w:sz w:val="24"/>
      <w:szCs w:val="24"/>
    </w:rPr>
  </w:style>
  <w:style w:type="character" w:styleId="Strong">
    <w:name w:val="Strong"/>
    <w:basedOn w:val="DefaultParagraphFont"/>
    <w:uiPriority w:val="22"/>
    <w:qFormat/>
    <w:rsid w:val="00375F87"/>
    <w:rPr>
      <w:b/>
      <w:bCs/>
    </w:rPr>
  </w:style>
  <w:style w:type="paragraph" w:styleId="NoSpacing">
    <w:name w:val="No Spacing"/>
    <w:uiPriority w:val="1"/>
    <w:qFormat/>
    <w:rsid w:val="00E73F7F"/>
    <w:pPr>
      <w:spacing w:after="0" w:line="240" w:lineRule="auto"/>
    </w:pPr>
  </w:style>
  <w:style w:type="paragraph" w:styleId="Revision">
    <w:name w:val="Revision"/>
    <w:hidden/>
    <w:uiPriority w:val="99"/>
    <w:semiHidden/>
    <w:rsid w:val="000B72EF"/>
    <w:pPr>
      <w:spacing w:after="0" w:line="240" w:lineRule="auto"/>
    </w:pPr>
  </w:style>
  <w:style w:type="character" w:customStyle="1" w:styleId="Heading2Char">
    <w:name w:val="Heading 2 Char"/>
    <w:basedOn w:val="DefaultParagraphFont"/>
    <w:link w:val="Heading2"/>
    <w:uiPriority w:val="9"/>
    <w:semiHidden/>
    <w:rsid w:val="004E174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734B0"/>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54004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607">
      <w:bodyDiv w:val="1"/>
      <w:marLeft w:val="0"/>
      <w:marRight w:val="0"/>
      <w:marTop w:val="0"/>
      <w:marBottom w:val="0"/>
      <w:divBdr>
        <w:top w:val="none" w:sz="0" w:space="0" w:color="auto"/>
        <w:left w:val="none" w:sz="0" w:space="0" w:color="auto"/>
        <w:bottom w:val="none" w:sz="0" w:space="0" w:color="auto"/>
        <w:right w:val="none" w:sz="0" w:space="0" w:color="auto"/>
      </w:divBdr>
    </w:div>
    <w:div w:id="60493494">
      <w:bodyDiv w:val="1"/>
      <w:marLeft w:val="0"/>
      <w:marRight w:val="0"/>
      <w:marTop w:val="0"/>
      <w:marBottom w:val="0"/>
      <w:divBdr>
        <w:top w:val="none" w:sz="0" w:space="0" w:color="auto"/>
        <w:left w:val="none" w:sz="0" w:space="0" w:color="auto"/>
        <w:bottom w:val="none" w:sz="0" w:space="0" w:color="auto"/>
        <w:right w:val="none" w:sz="0" w:space="0" w:color="auto"/>
      </w:divBdr>
    </w:div>
    <w:div w:id="92941961">
      <w:bodyDiv w:val="1"/>
      <w:marLeft w:val="0"/>
      <w:marRight w:val="0"/>
      <w:marTop w:val="0"/>
      <w:marBottom w:val="0"/>
      <w:divBdr>
        <w:top w:val="none" w:sz="0" w:space="0" w:color="auto"/>
        <w:left w:val="none" w:sz="0" w:space="0" w:color="auto"/>
        <w:bottom w:val="none" w:sz="0" w:space="0" w:color="auto"/>
        <w:right w:val="none" w:sz="0" w:space="0" w:color="auto"/>
      </w:divBdr>
    </w:div>
    <w:div w:id="146286429">
      <w:bodyDiv w:val="1"/>
      <w:marLeft w:val="0"/>
      <w:marRight w:val="0"/>
      <w:marTop w:val="0"/>
      <w:marBottom w:val="0"/>
      <w:divBdr>
        <w:top w:val="none" w:sz="0" w:space="0" w:color="auto"/>
        <w:left w:val="none" w:sz="0" w:space="0" w:color="auto"/>
        <w:bottom w:val="none" w:sz="0" w:space="0" w:color="auto"/>
        <w:right w:val="none" w:sz="0" w:space="0" w:color="auto"/>
      </w:divBdr>
    </w:div>
    <w:div w:id="169831045">
      <w:bodyDiv w:val="1"/>
      <w:marLeft w:val="0"/>
      <w:marRight w:val="0"/>
      <w:marTop w:val="0"/>
      <w:marBottom w:val="0"/>
      <w:divBdr>
        <w:top w:val="none" w:sz="0" w:space="0" w:color="auto"/>
        <w:left w:val="none" w:sz="0" w:space="0" w:color="auto"/>
        <w:bottom w:val="none" w:sz="0" w:space="0" w:color="auto"/>
        <w:right w:val="none" w:sz="0" w:space="0" w:color="auto"/>
      </w:divBdr>
      <w:divsChild>
        <w:div w:id="1667005739">
          <w:marLeft w:val="0"/>
          <w:marRight w:val="0"/>
          <w:marTop w:val="0"/>
          <w:marBottom w:val="0"/>
          <w:divBdr>
            <w:top w:val="none" w:sz="0" w:space="0" w:color="auto"/>
            <w:left w:val="none" w:sz="0" w:space="0" w:color="auto"/>
            <w:bottom w:val="none" w:sz="0" w:space="0" w:color="auto"/>
            <w:right w:val="none" w:sz="0" w:space="0" w:color="auto"/>
          </w:divBdr>
        </w:div>
        <w:div w:id="139810425">
          <w:marLeft w:val="0"/>
          <w:marRight w:val="0"/>
          <w:marTop w:val="0"/>
          <w:marBottom w:val="0"/>
          <w:divBdr>
            <w:top w:val="none" w:sz="0" w:space="0" w:color="auto"/>
            <w:left w:val="none" w:sz="0" w:space="0" w:color="auto"/>
            <w:bottom w:val="none" w:sz="0" w:space="0" w:color="auto"/>
            <w:right w:val="none" w:sz="0" w:space="0" w:color="auto"/>
          </w:divBdr>
        </w:div>
      </w:divsChild>
    </w:div>
    <w:div w:id="176700477">
      <w:bodyDiv w:val="1"/>
      <w:marLeft w:val="0"/>
      <w:marRight w:val="0"/>
      <w:marTop w:val="0"/>
      <w:marBottom w:val="0"/>
      <w:divBdr>
        <w:top w:val="none" w:sz="0" w:space="0" w:color="auto"/>
        <w:left w:val="none" w:sz="0" w:space="0" w:color="auto"/>
        <w:bottom w:val="none" w:sz="0" w:space="0" w:color="auto"/>
        <w:right w:val="none" w:sz="0" w:space="0" w:color="auto"/>
      </w:divBdr>
    </w:div>
    <w:div w:id="182863302">
      <w:bodyDiv w:val="1"/>
      <w:marLeft w:val="0"/>
      <w:marRight w:val="0"/>
      <w:marTop w:val="0"/>
      <w:marBottom w:val="0"/>
      <w:divBdr>
        <w:top w:val="none" w:sz="0" w:space="0" w:color="auto"/>
        <w:left w:val="none" w:sz="0" w:space="0" w:color="auto"/>
        <w:bottom w:val="none" w:sz="0" w:space="0" w:color="auto"/>
        <w:right w:val="none" w:sz="0" w:space="0" w:color="auto"/>
      </w:divBdr>
    </w:div>
    <w:div w:id="216864169">
      <w:bodyDiv w:val="1"/>
      <w:marLeft w:val="0"/>
      <w:marRight w:val="0"/>
      <w:marTop w:val="0"/>
      <w:marBottom w:val="0"/>
      <w:divBdr>
        <w:top w:val="none" w:sz="0" w:space="0" w:color="auto"/>
        <w:left w:val="none" w:sz="0" w:space="0" w:color="auto"/>
        <w:bottom w:val="none" w:sz="0" w:space="0" w:color="auto"/>
        <w:right w:val="none" w:sz="0" w:space="0" w:color="auto"/>
      </w:divBdr>
    </w:div>
    <w:div w:id="228806203">
      <w:bodyDiv w:val="1"/>
      <w:marLeft w:val="0"/>
      <w:marRight w:val="0"/>
      <w:marTop w:val="0"/>
      <w:marBottom w:val="0"/>
      <w:divBdr>
        <w:top w:val="none" w:sz="0" w:space="0" w:color="auto"/>
        <w:left w:val="none" w:sz="0" w:space="0" w:color="auto"/>
        <w:bottom w:val="none" w:sz="0" w:space="0" w:color="auto"/>
        <w:right w:val="none" w:sz="0" w:space="0" w:color="auto"/>
      </w:divBdr>
    </w:div>
    <w:div w:id="232157117">
      <w:bodyDiv w:val="1"/>
      <w:marLeft w:val="0"/>
      <w:marRight w:val="0"/>
      <w:marTop w:val="0"/>
      <w:marBottom w:val="0"/>
      <w:divBdr>
        <w:top w:val="none" w:sz="0" w:space="0" w:color="auto"/>
        <w:left w:val="none" w:sz="0" w:space="0" w:color="auto"/>
        <w:bottom w:val="none" w:sz="0" w:space="0" w:color="auto"/>
        <w:right w:val="none" w:sz="0" w:space="0" w:color="auto"/>
      </w:divBdr>
    </w:div>
    <w:div w:id="267391136">
      <w:bodyDiv w:val="1"/>
      <w:marLeft w:val="0"/>
      <w:marRight w:val="0"/>
      <w:marTop w:val="0"/>
      <w:marBottom w:val="0"/>
      <w:divBdr>
        <w:top w:val="none" w:sz="0" w:space="0" w:color="auto"/>
        <w:left w:val="none" w:sz="0" w:space="0" w:color="auto"/>
        <w:bottom w:val="none" w:sz="0" w:space="0" w:color="auto"/>
        <w:right w:val="none" w:sz="0" w:space="0" w:color="auto"/>
      </w:divBdr>
    </w:div>
    <w:div w:id="299263955">
      <w:bodyDiv w:val="1"/>
      <w:marLeft w:val="0"/>
      <w:marRight w:val="0"/>
      <w:marTop w:val="0"/>
      <w:marBottom w:val="0"/>
      <w:divBdr>
        <w:top w:val="none" w:sz="0" w:space="0" w:color="auto"/>
        <w:left w:val="none" w:sz="0" w:space="0" w:color="auto"/>
        <w:bottom w:val="none" w:sz="0" w:space="0" w:color="auto"/>
        <w:right w:val="none" w:sz="0" w:space="0" w:color="auto"/>
      </w:divBdr>
    </w:div>
    <w:div w:id="321275981">
      <w:bodyDiv w:val="1"/>
      <w:marLeft w:val="0"/>
      <w:marRight w:val="0"/>
      <w:marTop w:val="0"/>
      <w:marBottom w:val="0"/>
      <w:divBdr>
        <w:top w:val="none" w:sz="0" w:space="0" w:color="auto"/>
        <w:left w:val="none" w:sz="0" w:space="0" w:color="auto"/>
        <w:bottom w:val="none" w:sz="0" w:space="0" w:color="auto"/>
        <w:right w:val="none" w:sz="0" w:space="0" w:color="auto"/>
      </w:divBdr>
    </w:div>
    <w:div w:id="332488491">
      <w:bodyDiv w:val="1"/>
      <w:marLeft w:val="0"/>
      <w:marRight w:val="0"/>
      <w:marTop w:val="0"/>
      <w:marBottom w:val="0"/>
      <w:divBdr>
        <w:top w:val="none" w:sz="0" w:space="0" w:color="auto"/>
        <w:left w:val="none" w:sz="0" w:space="0" w:color="auto"/>
        <w:bottom w:val="none" w:sz="0" w:space="0" w:color="auto"/>
        <w:right w:val="none" w:sz="0" w:space="0" w:color="auto"/>
      </w:divBdr>
    </w:div>
    <w:div w:id="342171248">
      <w:bodyDiv w:val="1"/>
      <w:marLeft w:val="0"/>
      <w:marRight w:val="0"/>
      <w:marTop w:val="0"/>
      <w:marBottom w:val="0"/>
      <w:divBdr>
        <w:top w:val="none" w:sz="0" w:space="0" w:color="auto"/>
        <w:left w:val="none" w:sz="0" w:space="0" w:color="auto"/>
        <w:bottom w:val="none" w:sz="0" w:space="0" w:color="auto"/>
        <w:right w:val="none" w:sz="0" w:space="0" w:color="auto"/>
      </w:divBdr>
    </w:div>
    <w:div w:id="375663760">
      <w:bodyDiv w:val="1"/>
      <w:marLeft w:val="0"/>
      <w:marRight w:val="0"/>
      <w:marTop w:val="0"/>
      <w:marBottom w:val="0"/>
      <w:divBdr>
        <w:top w:val="none" w:sz="0" w:space="0" w:color="auto"/>
        <w:left w:val="none" w:sz="0" w:space="0" w:color="auto"/>
        <w:bottom w:val="none" w:sz="0" w:space="0" w:color="auto"/>
        <w:right w:val="none" w:sz="0" w:space="0" w:color="auto"/>
      </w:divBdr>
    </w:div>
    <w:div w:id="380713655">
      <w:bodyDiv w:val="1"/>
      <w:marLeft w:val="0"/>
      <w:marRight w:val="0"/>
      <w:marTop w:val="0"/>
      <w:marBottom w:val="0"/>
      <w:divBdr>
        <w:top w:val="none" w:sz="0" w:space="0" w:color="auto"/>
        <w:left w:val="none" w:sz="0" w:space="0" w:color="auto"/>
        <w:bottom w:val="none" w:sz="0" w:space="0" w:color="auto"/>
        <w:right w:val="none" w:sz="0" w:space="0" w:color="auto"/>
      </w:divBdr>
    </w:div>
    <w:div w:id="383679389">
      <w:bodyDiv w:val="1"/>
      <w:marLeft w:val="0"/>
      <w:marRight w:val="0"/>
      <w:marTop w:val="0"/>
      <w:marBottom w:val="0"/>
      <w:divBdr>
        <w:top w:val="none" w:sz="0" w:space="0" w:color="auto"/>
        <w:left w:val="none" w:sz="0" w:space="0" w:color="auto"/>
        <w:bottom w:val="none" w:sz="0" w:space="0" w:color="auto"/>
        <w:right w:val="none" w:sz="0" w:space="0" w:color="auto"/>
      </w:divBdr>
    </w:div>
    <w:div w:id="401804763">
      <w:bodyDiv w:val="1"/>
      <w:marLeft w:val="0"/>
      <w:marRight w:val="0"/>
      <w:marTop w:val="0"/>
      <w:marBottom w:val="0"/>
      <w:divBdr>
        <w:top w:val="none" w:sz="0" w:space="0" w:color="auto"/>
        <w:left w:val="none" w:sz="0" w:space="0" w:color="auto"/>
        <w:bottom w:val="none" w:sz="0" w:space="0" w:color="auto"/>
        <w:right w:val="none" w:sz="0" w:space="0" w:color="auto"/>
      </w:divBdr>
    </w:div>
    <w:div w:id="403379001">
      <w:bodyDiv w:val="1"/>
      <w:marLeft w:val="0"/>
      <w:marRight w:val="0"/>
      <w:marTop w:val="0"/>
      <w:marBottom w:val="0"/>
      <w:divBdr>
        <w:top w:val="none" w:sz="0" w:space="0" w:color="auto"/>
        <w:left w:val="none" w:sz="0" w:space="0" w:color="auto"/>
        <w:bottom w:val="none" w:sz="0" w:space="0" w:color="auto"/>
        <w:right w:val="none" w:sz="0" w:space="0" w:color="auto"/>
      </w:divBdr>
      <w:divsChild>
        <w:div w:id="798718191">
          <w:marLeft w:val="0"/>
          <w:marRight w:val="0"/>
          <w:marTop w:val="0"/>
          <w:marBottom w:val="0"/>
          <w:divBdr>
            <w:top w:val="none" w:sz="0" w:space="0" w:color="auto"/>
            <w:left w:val="none" w:sz="0" w:space="0" w:color="auto"/>
            <w:bottom w:val="none" w:sz="0" w:space="0" w:color="auto"/>
            <w:right w:val="none" w:sz="0" w:space="0" w:color="auto"/>
          </w:divBdr>
        </w:div>
      </w:divsChild>
    </w:div>
    <w:div w:id="410127953">
      <w:bodyDiv w:val="1"/>
      <w:marLeft w:val="0"/>
      <w:marRight w:val="0"/>
      <w:marTop w:val="0"/>
      <w:marBottom w:val="0"/>
      <w:divBdr>
        <w:top w:val="none" w:sz="0" w:space="0" w:color="auto"/>
        <w:left w:val="none" w:sz="0" w:space="0" w:color="auto"/>
        <w:bottom w:val="none" w:sz="0" w:space="0" w:color="auto"/>
        <w:right w:val="none" w:sz="0" w:space="0" w:color="auto"/>
      </w:divBdr>
    </w:div>
    <w:div w:id="449518227">
      <w:bodyDiv w:val="1"/>
      <w:marLeft w:val="0"/>
      <w:marRight w:val="0"/>
      <w:marTop w:val="0"/>
      <w:marBottom w:val="0"/>
      <w:divBdr>
        <w:top w:val="none" w:sz="0" w:space="0" w:color="auto"/>
        <w:left w:val="none" w:sz="0" w:space="0" w:color="auto"/>
        <w:bottom w:val="none" w:sz="0" w:space="0" w:color="auto"/>
        <w:right w:val="none" w:sz="0" w:space="0" w:color="auto"/>
      </w:divBdr>
    </w:div>
    <w:div w:id="476579159">
      <w:bodyDiv w:val="1"/>
      <w:marLeft w:val="0"/>
      <w:marRight w:val="0"/>
      <w:marTop w:val="0"/>
      <w:marBottom w:val="0"/>
      <w:divBdr>
        <w:top w:val="none" w:sz="0" w:space="0" w:color="auto"/>
        <w:left w:val="none" w:sz="0" w:space="0" w:color="auto"/>
        <w:bottom w:val="none" w:sz="0" w:space="0" w:color="auto"/>
        <w:right w:val="none" w:sz="0" w:space="0" w:color="auto"/>
      </w:divBdr>
    </w:div>
    <w:div w:id="501895826">
      <w:bodyDiv w:val="1"/>
      <w:marLeft w:val="0"/>
      <w:marRight w:val="0"/>
      <w:marTop w:val="0"/>
      <w:marBottom w:val="0"/>
      <w:divBdr>
        <w:top w:val="none" w:sz="0" w:space="0" w:color="auto"/>
        <w:left w:val="none" w:sz="0" w:space="0" w:color="auto"/>
        <w:bottom w:val="none" w:sz="0" w:space="0" w:color="auto"/>
        <w:right w:val="none" w:sz="0" w:space="0" w:color="auto"/>
      </w:divBdr>
    </w:div>
    <w:div w:id="523175240">
      <w:bodyDiv w:val="1"/>
      <w:marLeft w:val="0"/>
      <w:marRight w:val="0"/>
      <w:marTop w:val="0"/>
      <w:marBottom w:val="0"/>
      <w:divBdr>
        <w:top w:val="none" w:sz="0" w:space="0" w:color="auto"/>
        <w:left w:val="none" w:sz="0" w:space="0" w:color="auto"/>
        <w:bottom w:val="none" w:sz="0" w:space="0" w:color="auto"/>
        <w:right w:val="none" w:sz="0" w:space="0" w:color="auto"/>
      </w:divBdr>
    </w:div>
    <w:div w:id="529270756">
      <w:bodyDiv w:val="1"/>
      <w:marLeft w:val="0"/>
      <w:marRight w:val="0"/>
      <w:marTop w:val="0"/>
      <w:marBottom w:val="0"/>
      <w:divBdr>
        <w:top w:val="none" w:sz="0" w:space="0" w:color="auto"/>
        <w:left w:val="none" w:sz="0" w:space="0" w:color="auto"/>
        <w:bottom w:val="none" w:sz="0" w:space="0" w:color="auto"/>
        <w:right w:val="none" w:sz="0" w:space="0" w:color="auto"/>
      </w:divBdr>
    </w:div>
    <w:div w:id="540478499">
      <w:bodyDiv w:val="1"/>
      <w:marLeft w:val="0"/>
      <w:marRight w:val="0"/>
      <w:marTop w:val="0"/>
      <w:marBottom w:val="0"/>
      <w:divBdr>
        <w:top w:val="none" w:sz="0" w:space="0" w:color="auto"/>
        <w:left w:val="none" w:sz="0" w:space="0" w:color="auto"/>
        <w:bottom w:val="none" w:sz="0" w:space="0" w:color="auto"/>
        <w:right w:val="none" w:sz="0" w:space="0" w:color="auto"/>
      </w:divBdr>
    </w:div>
    <w:div w:id="562835610">
      <w:bodyDiv w:val="1"/>
      <w:marLeft w:val="0"/>
      <w:marRight w:val="0"/>
      <w:marTop w:val="0"/>
      <w:marBottom w:val="0"/>
      <w:divBdr>
        <w:top w:val="none" w:sz="0" w:space="0" w:color="auto"/>
        <w:left w:val="none" w:sz="0" w:space="0" w:color="auto"/>
        <w:bottom w:val="none" w:sz="0" w:space="0" w:color="auto"/>
        <w:right w:val="none" w:sz="0" w:space="0" w:color="auto"/>
      </w:divBdr>
    </w:div>
    <w:div w:id="587427039">
      <w:bodyDiv w:val="1"/>
      <w:marLeft w:val="0"/>
      <w:marRight w:val="0"/>
      <w:marTop w:val="0"/>
      <w:marBottom w:val="0"/>
      <w:divBdr>
        <w:top w:val="none" w:sz="0" w:space="0" w:color="auto"/>
        <w:left w:val="none" w:sz="0" w:space="0" w:color="auto"/>
        <w:bottom w:val="none" w:sz="0" w:space="0" w:color="auto"/>
        <w:right w:val="none" w:sz="0" w:space="0" w:color="auto"/>
      </w:divBdr>
    </w:div>
    <w:div w:id="601107618">
      <w:bodyDiv w:val="1"/>
      <w:marLeft w:val="0"/>
      <w:marRight w:val="0"/>
      <w:marTop w:val="0"/>
      <w:marBottom w:val="0"/>
      <w:divBdr>
        <w:top w:val="none" w:sz="0" w:space="0" w:color="auto"/>
        <w:left w:val="none" w:sz="0" w:space="0" w:color="auto"/>
        <w:bottom w:val="none" w:sz="0" w:space="0" w:color="auto"/>
        <w:right w:val="none" w:sz="0" w:space="0" w:color="auto"/>
      </w:divBdr>
    </w:div>
    <w:div w:id="601375935">
      <w:bodyDiv w:val="1"/>
      <w:marLeft w:val="0"/>
      <w:marRight w:val="0"/>
      <w:marTop w:val="0"/>
      <w:marBottom w:val="0"/>
      <w:divBdr>
        <w:top w:val="none" w:sz="0" w:space="0" w:color="auto"/>
        <w:left w:val="none" w:sz="0" w:space="0" w:color="auto"/>
        <w:bottom w:val="none" w:sz="0" w:space="0" w:color="auto"/>
        <w:right w:val="none" w:sz="0" w:space="0" w:color="auto"/>
      </w:divBdr>
    </w:div>
    <w:div w:id="626854476">
      <w:bodyDiv w:val="1"/>
      <w:marLeft w:val="0"/>
      <w:marRight w:val="0"/>
      <w:marTop w:val="0"/>
      <w:marBottom w:val="0"/>
      <w:divBdr>
        <w:top w:val="none" w:sz="0" w:space="0" w:color="auto"/>
        <w:left w:val="none" w:sz="0" w:space="0" w:color="auto"/>
        <w:bottom w:val="none" w:sz="0" w:space="0" w:color="auto"/>
        <w:right w:val="none" w:sz="0" w:space="0" w:color="auto"/>
      </w:divBdr>
    </w:div>
    <w:div w:id="642003822">
      <w:bodyDiv w:val="1"/>
      <w:marLeft w:val="0"/>
      <w:marRight w:val="0"/>
      <w:marTop w:val="0"/>
      <w:marBottom w:val="0"/>
      <w:divBdr>
        <w:top w:val="none" w:sz="0" w:space="0" w:color="auto"/>
        <w:left w:val="none" w:sz="0" w:space="0" w:color="auto"/>
        <w:bottom w:val="none" w:sz="0" w:space="0" w:color="auto"/>
        <w:right w:val="none" w:sz="0" w:space="0" w:color="auto"/>
      </w:divBdr>
    </w:div>
    <w:div w:id="722212344">
      <w:bodyDiv w:val="1"/>
      <w:marLeft w:val="0"/>
      <w:marRight w:val="0"/>
      <w:marTop w:val="0"/>
      <w:marBottom w:val="0"/>
      <w:divBdr>
        <w:top w:val="none" w:sz="0" w:space="0" w:color="auto"/>
        <w:left w:val="none" w:sz="0" w:space="0" w:color="auto"/>
        <w:bottom w:val="none" w:sz="0" w:space="0" w:color="auto"/>
        <w:right w:val="none" w:sz="0" w:space="0" w:color="auto"/>
      </w:divBdr>
      <w:divsChild>
        <w:div w:id="352655626">
          <w:marLeft w:val="0"/>
          <w:marRight w:val="0"/>
          <w:marTop w:val="240"/>
          <w:marBottom w:val="300"/>
          <w:divBdr>
            <w:top w:val="single" w:sz="6" w:space="0" w:color="CCCCCC"/>
            <w:left w:val="single" w:sz="6" w:space="0" w:color="CCCCCC"/>
            <w:bottom w:val="single" w:sz="6" w:space="0" w:color="CCCCCC"/>
            <w:right w:val="single" w:sz="6" w:space="0" w:color="CCCCCC"/>
          </w:divBdr>
          <w:divsChild>
            <w:div w:id="4460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569">
      <w:bodyDiv w:val="1"/>
      <w:marLeft w:val="0"/>
      <w:marRight w:val="0"/>
      <w:marTop w:val="0"/>
      <w:marBottom w:val="0"/>
      <w:divBdr>
        <w:top w:val="none" w:sz="0" w:space="0" w:color="auto"/>
        <w:left w:val="none" w:sz="0" w:space="0" w:color="auto"/>
        <w:bottom w:val="none" w:sz="0" w:space="0" w:color="auto"/>
        <w:right w:val="none" w:sz="0" w:space="0" w:color="auto"/>
      </w:divBdr>
    </w:div>
    <w:div w:id="798572607">
      <w:bodyDiv w:val="1"/>
      <w:marLeft w:val="0"/>
      <w:marRight w:val="0"/>
      <w:marTop w:val="0"/>
      <w:marBottom w:val="0"/>
      <w:divBdr>
        <w:top w:val="none" w:sz="0" w:space="0" w:color="auto"/>
        <w:left w:val="none" w:sz="0" w:space="0" w:color="auto"/>
        <w:bottom w:val="none" w:sz="0" w:space="0" w:color="auto"/>
        <w:right w:val="none" w:sz="0" w:space="0" w:color="auto"/>
      </w:divBdr>
    </w:div>
    <w:div w:id="823547159">
      <w:bodyDiv w:val="1"/>
      <w:marLeft w:val="0"/>
      <w:marRight w:val="0"/>
      <w:marTop w:val="0"/>
      <w:marBottom w:val="0"/>
      <w:divBdr>
        <w:top w:val="none" w:sz="0" w:space="0" w:color="auto"/>
        <w:left w:val="none" w:sz="0" w:space="0" w:color="auto"/>
        <w:bottom w:val="none" w:sz="0" w:space="0" w:color="auto"/>
        <w:right w:val="none" w:sz="0" w:space="0" w:color="auto"/>
      </w:divBdr>
    </w:div>
    <w:div w:id="824249384">
      <w:bodyDiv w:val="1"/>
      <w:marLeft w:val="0"/>
      <w:marRight w:val="0"/>
      <w:marTop w:val="0"/>
      <w:marBottom w:val="0"/>
      <w:divBdr>
        <w:top w:val="none" w:sz="0" w:space="0" w:color="auto"/>
        <w:left w:val="none" w:sz="0" w:space="0" w:color="auto"/>
        <w:bottom w:val="none" w:sz="0" w:space="0" w:color="auto"/>
        <w:right w:val="none" w:sz="0" w:space="0" w:color="auto"/>
      </w:divBdr>
    </w:div>
    <w:div w:id="862205911">
      <w:bodyDiv w:val="1"/>
      <w:marLeft w:val="0"/>
      <w:marRight w:val="0"/>
      <w:marTop w:val="0"/>
      <w:marBottom w:val="0"/>
      <w:divBdr>
        <w:top w:val="none" w:sz="0" w:space="0" w:color="auto"/>
        <w:left w:val="none" w:sz="0" w:space="0" w:color="auto"/>
        <w:bottom w:val="none" w:sz="0" w:space="0" w:color="auto"/>
        <w:right w:val="none" w:sz="0" w:space="0" w:color="auto"/>
      </w:divBdr>
    </w:div>
    <w:div w:id="870727856">
      <w:bodyDiv w:val="1"/>
      <w:marLeft w:val="0"/>
      <w:marRight w:val="0"/>
      <w:marTop w:val="0"/>
      <w:marBottom w:val="0"/>
      <w:divBdr>
        <w:top w:val="none" w:sz="0" w:space="0" w:color="auto"/>
        <w:left w:val="none" w:sz="0" w:space="0" w:color="auto"/>
        <w:bottom w:val="none" w:sz="0" w:space="0" w:color="auto"/>
        <w:right w:val="none" w:sz="0" w:space="0" w:color="auto"/>
      </w:divBdr>
    </w:div>
    <w:div w:id="902258839">
      <w:bodyDiv w:val="1"/>
      <w:marLeft w:val="0"/>
      <w:marRight w:val="0"/>
      <w:marTop w:val="0"/>
      <w:marBottom w:val="0"/>
      <w:divBdr>
        <w:top w:val="none" w:sz="0" w:space="0" w:color="auto"/>
        <w:left w:val="none" w:sz="0" w:space="0" w:color="auto"/>
        <w:bottom w:val="none" w:sz="0" w:space="0" w:color="auto"/>
        <w:right w:val="none" w:sz="0" w:space="0" w:color="auto"/>
      </w:divBdr>
    </w:div>
    <w:div w:id="977607185">
      <w:bodyDiv w:val="1"/>
      <w:marLeft w:val="0"/>
      <w:marRight w:val="0"/>
      <w:marTop w:val="0"/>
      <w:marBottom w:val="0"/>
      <w:divBdr>
        <w:top w:val="none" w:sz="0" w:space="0" w:color="auto"/>
        <w:left w:val="none" w:sz="0" w:space="0" w:color="auto"/>
        <w:bottom w:val="none" w:sz="0" w:space="0" w:color="auto"/>
        <w:right w:val="none" w:sz="0" w:space="0" w:color="auto"/>
      </w:divBdr>
    </w:div>
    <w:div w:id="998074348">
      <w:bodyDiv w:val="1"/>
      <w:marLeft w:val="0"/>
      <w:marRight w:val="0"/>
      <w:marTop w:val="0"/>
      <w:marBottom w:val="0"/>
      <w:divBdr>
        <w:top w:val="none" w:sz="0" w:space="0" w:color="auto"/>
        <w:left w:val="none" w:sz="0" w:space="0" w:color="auto"/>
        <w:bottom w:val="none" w:sz="0" w:space="0" w:color="auto"/>
        <w:right w:val="none" w:sz="0" w:space="0" w:color="auto"/>
      </w:divBdr>
    </w:div>
    <w:div w:id="1019089665">
      <w:bodyDiv w:val="1"/>
      <w:marLeft w:val="0"/>
      <w:marRight w:val="0"/>
      <w:marTop w:val="0"/>
      <w:marBottom w:val="0"/>
      <w:divBdr>
        <w:top w:val="none" w:sz="0" w:space="0" w:color="auto"/>
        <w:left w:val="none" w:sz="0" w:space="0" w:color="auto"/>
        <w:bottom w:val="none" w:sz="0" w:space="0" w:color="auto"/>
        <w:right w:val="none" w:sz="0" w:space="0" w:color="auto"/>
      </w:divBdr>
    </w:div>
    <w:div w:id="1061905807">
      <w:bodyDiv w:val="1"/>
      <w:marLeft w:val="0"/>
      <w:marRight w:val="0"/>
      <w:marTop w:val="0"/>
      <w:marBottom w:val="0"/>
      <w:divBdr>
        <w:top w:val="none" w:sz="0" w:space="0" w:color="auto"/>
        <w:left w:val="none" w:sz="0" w:space="0" w:color="auto"/>
        <w:bottom w:val="none" w:sz="0" w:space="0" w:color="auto"/>
        <w:right w:val="none" w:sz="0" w:space="0" w:color="auto"/>
      </w:divBdr>
    </w:div>
    <w:div w:id="1089079205">
      <w:bodyDiv w:val="1"/>
      <w:marLeft w:val="0"/>
      <w:marRight w:val="0"/>
      <w:marTop w:val="0"/>
      <w:marBottom w:val="0"/>
      <w:divBdr>
        <w:top w:val="none" w:sz="0" w:space="0" w:color="auto"/>
        <w:left w:val="none" w:sz="0" w:space="0" w:color="auto"/>
        <w:bottom w:val="none" w:sz="0" w:space="0" w:color="auto"/>
        <w:right w:val="none" w:sz="0" w:space="0" w:color="auto"/>
      </w:divBdr>
      <w:divsChild>
        <w:div w:id="553934419">
          <w:marLeft w:val="0"/>
          <w:marRight w:val="0"/>
          <w:marTop w:val="240"/>
          <w:marBottom w:val="300"/>
          <w:divBdr>
            <w:top w:val="single" w:sz="6" w:space="0" w:color="CCCCCC"/>
            <w:left w:val="single" w:sz="6" w:space="0" w:color="CCCCCC"/>
            <w:bottom w:val="single" w:sz="6" w:space="0" w:color="CCCCCC"/>
            <w:right w:val="single" w:sz="6" w:space="0" w:color="CCCCCC"/>
          </w:divBdr>
          <w:divsChild>
            <w:div w:id="1386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0252">
      <w:bodyDiv w:val="1"/>
      <w:marLeft w:val="0"/>
      <w:marRight w:val="0"/>
      <w:marTop w:val="0"/>
      <w:marBottom w:val="0"/>
      <w:divBdr>
        <w:top w:val="none" w:sz="0" w:space="0" w:color="auto"/>
        <w:left w:val="none" w:sz="0" w:space="0" w:color="auto"/>
        <w:bottom w:val="none" w:sz="0" w:space="0" w:color="auto"/>
        <w:right w:val="none" w:sz="0" w:space="0" w:color="auto"/>
      </w:divBdr>
    </w:div>
    <w:div w:id="1166899992">
      <w:bodyDiv w:val="1"/>
      <w:marLeft w:val="0"/>
      <w:marRight w:val="0"/>
      <w:marTop w:val="0"/>
      <w:marBottom w:val="0"/>
      <w:divBdr>
        <w:top w:val="none" w:sz="0" w:space="0" w:color="auto"/>
        <w:left w:val="none" w:sz="0" w:space="0" w:color="auto"/>
        <w:bottom w:val="none" w:sz="0" w:space="0" w:color="auto"/>
        <w:right w:val="none" w:sz="0" w:space="0" w:color="auto"/>
      </w:divBdr>
    </w:div>
    <w:div w:id="1250769898">
      <w:bodyDiv w:val="1"/>
      <w:marLeft w:val="0"/>
      <w:marRight w:val="0"/>
      <w:marTop w:val="0"/>
      <w:marBottom w:val="0"/>
      <w:divBdr>
        <w:top w:val="none" w:sz="0" w:space="0" w:color="auto"/>
        <w:left w:val="none" w:sz="0" w:space="0" w:color="auto"/>
        <w:bottom w:val="none" w:sz="0" w:space="0" w:color="auto"/>
        <w:right w:val="none" w:sz="0" w:space="0" w:color="auto"/>
      </w:divBdr>
    </w:div>
    <w:div w:id="1252810407">
      <w:bodyDiv w:val="1"/>
      <w:marLeft w:val="0"/>
      <w:marRight w:val="0"/>
      <w:marTop w:val="0"/>
      <w:marBottom w:val="0"/>
      <w:divBdr>
        <w:top w:val="none" w:sz="0" w:space="0" w:color="auto"/>
        <w:left w:val="none" w:sz="0" w:space="0" w:color="auto"/>
        <w:bottom w:val="none" w:sz="0" w:space="0" w:color="auto"/>
        <w:right w:val="none" w:sz="0" w:space="0" w:color="auto"/>
      </w:divBdr>
    </w:div>
    <w:div w:id="1263606649">
      <w:bodyDiv w:val="1"/>
      <w:marLeft w:val="0"/>
      <w:marRight w:val="0"/>
      <w:marTop w:val="0"/>
      <w:marBottom w:val="0"/>
      <w:divBdr>
        <w:top w:val="none" w:sz="0" w:space="0" w:color="auto"/>
        <w:left w:val="none" w:sz="0" w:space="0" w:color="auto"/>
        <w:bottom w:val="none" w:sz="0" w:space="0" w:color="auto"/>
        <w:right w:val="none" w:sz="0" w:space="0" w:color="auto"/>
      </w:divBdr>
    </w:div>
    <w:div w:id="1287739572">
      <w:bodyDiv w:val="1"/>
      <w:marLeft w:val="0"/>
      <w:marRight w:val="0"/>
      <w:marTop w:val="0"/>
      <w:marBottom w:val="0"/>
      <w:divBdr>
        <w:top w:val="none" w:sz="0" w:space="0" w:color="auto"/>
        <w:left w:val="none" w:sz="0" w:space="0" w:color="auto"/>
        <w:bottom w:val="none" w:sz="0" w:space="0" w:color="auto"/>
        <w:right w:val="none" w:sz="0" w:space="0" w:color="auto"/>
      </w:divBdr>
    </w:div>
    <w:div w:id="1329285134">
      <w:bodyDiv w:val="1"/>
      <w:marLeft w:val="0"/>
      <w:marRight w:val="0"/>
      <w:marTop w:val="0"/>
      <w:marBottom w:val="0"/>
      <w:divBdr>
        <w:top w:val="none" w:sz="0" w:space="0" w:color="auto"/>
        <w:left w:val="none" w:sz="0" w:space="0" w:color="auto"/>
        <w:bottom w:val="none" w:sz="0" w:space="0" w:color="auto"/>
        <w:right w:val="none" w:sz="0" w:space="0" w:color="auto"/>
      </w:divBdr>
    </w:div>
    <w:div w:id="1343782635">
      <w:bodyDiv w:val="1"/>
      <w:marLeft w:val="0"/>
      <w:marRight w:val="0"/>
      <w:marTop w:val="0"/>
      <w:marBottom w:val="0"/>
      <w:divBdr>
        <w:top w:val="none" w:sz="0" w:space="0" w:color="auto"/>
        <w:left w:val="none" w:sz="0" w:space="0" w:color="auto"/>
        <w:bottom w:val="none" w:sz="0" w:space="0" w:color="auto"/>
        <w:right w:val="none" w:sz="0" w:space="0" w:color="auto"/>
      </w:divBdr>
    </w:div>
    <w:div w:id="1356809745">
      <w:bodyDiv w:val="1"/>
      <w:marLeft w:val="0"/>
      <w:marRight w:val="0"/>
      <w:marTop w:val="0"/>
      <w:marBottom w:val="0"/>
      <w:divBdr>
        <w:top w:val="none" w:sz="0" w:space="0" w:color="auto"/>
        <w:left w:val="none" w:sz="0" w:space="0" w:color="auto"/>
        <w:bottom w:val="none" w:sz="0" w:space="0" w:color="auto"/>
        <w:right w:val="none" w:sz="0" w:space="0" w:color="auto"/>
      </w:divBdr>
    </w:div>
    <w:div w:id="1359350387">
      <w:bodyDiv w:val="1"/>
      <w:marLeft w:val="0"/>
      <w:marRight w:val="0"/>
      <w:marTop w:val="0"/>
      <w:marBottom w:val="0"/>
      <w:divBdr>
        <w:top w:val="none" w:sz="0" w:space="0" w:color="auto"/>
        <w:left w:val="none" w:sz="0" w:space="0" w:color="auto"/>
        <w:bottom w:val="none" w:sz="0" w:space="0" w:color="auto"/>
        <w:right w:val="none" w:sz="0" w:space="0" w:color="auto"/>
      </w:divBdr>
    </w:div>
    <w:div w:id="1417752556">
      <w:bodyDiv w:val="1"/>
      <w:marLeft w:val="0"/>
      <w:marRight w:val="0"/>
      <w:marTop w:val="0"/>
      <w:marBottom w:val="0"/>
      <w:divBdr>
        <w:top w:val="none" w:sz="0" w:space="0" w:color="auto"/>
        <w:left w:val="none" w:sz="0" w:space="0" w:color="auto"/>
        <w:bottom w:val="none" w:sz="0" w:space="0" w:color="auto"/>
        <w:right w:val="none" w:sz="0" w:space="0" w:color="auto"/>
      </w:divBdr>
    </w:div>
    <w:div w:id="1422796425">
      <w:bodyDiv w:val="1"/>
      <w:marLeft w:val="0"/>
      <w:marRight w:val="0"/>
      <w:marTop w:val="0"/>
      <w:marBottom w:val="0"/>
      <w:divBdr>
        <w:top w:val="none" w:sz="0" w:space="0" w:color="auto"/>
        <w:left w:val="none" w:sz="0" w:space="0" w:color="auto"/>
        <w:bottom w:val="none" w:sz="0" w:space="0" w:color="auto"/>
        <w:right w:val="none" w:sz="0" w:space="0" w:color="auto"/>
      </w:divBdr>
    </w:div>
    <w:div w:id="1429886044">
      <w:bodyDiv w:val="1"/>
      <w:marLeft w:val="0"/>
      <w:marRight w:val="0"/>
      <w:marTop w:val="0"/>
      <w:marBottom w:val="0"/>
      <w:divBdr>
        <w:top w:val="none" w:sz="0" w:space="0" w:color="auto"/>
        <w:left w:val="none" w:sz="0" w:space="0" w:color="auto"/>
        <w:bottom w:val="none" w:sz="0" w:space="0" w:color="auto"/>
        <w:right w:val="none" w:sz="0" w:space="0" w:color="auto"/>
      </w:divBdr>
    </w:div>
    <w:div w:id="1445074399">
      <w:bodyDiv w:val="1"/>
      <w:marLeft w:val="0"/>
      <w:marRight w:val="0"/>
      <w:marTop w:val="0"/>
      <w:marBottom w:val="0"/>
      <w:divBdr>
        <w:top w:val="none" w:sz="0" w:space="0" w:color="auto"/>
        <w:left w:val="none" w:sz="0" w:space="0" w:color="auto"/>
        <w:bottom w:val="none" w:sz="0" w:space="0" w:color="auto"/>
        <w:right w:val="none" w:sz="0" w:space="0" w:color="auto"/>
      </w:divBdr>
    </w:div>
    <w:div w:id="1466006950">
      <w:bodyDiv w:val="1"/>
      <w:marLeft w:val="0"/>
      <w:marRight w:val="0"/>
      <w:marTop w:val="0"/>
      <w:marBottom w:val="0"/>
      <w:divBdr>
        <w:top w:val="none" w:sz="0" w:space="0" w:color="auto"/>
        <w:left w:val="none" w:sz="0" w:space="0" w:color="auto"/>
        <w:bottom w:val="none" w:sz="0" w:space="0" w:color="auto"/>
        <w:right w:val="none" w:sz="0" w:space="0" w:color="auto"/>
      </w:divBdr>
    </w:div>
    <w:div w:id="1504971585">
      <w:bodyDiv w:val="1"/>
      <w:marLeft w:val="0"/>
      <w:marRight w:val="0"/>
      <w:marTop w:val="0"/>
      <w:marBottom w:val="0"/>
      <w:divBdr>
        <w:top w:val="none" w:sz="0" w:space="0" w:color="auto"/>
        <w:left w:val="none" w:sz="0" w:space="0" w:color="auto"/>
        <w:bottom w:val="none" w:sz="0" w:space="0" w:color="auto"/>
        <w:right w:val="none" w:sz="0" w:space="0" w:color="auto"/>
      </w:divBdr>
    </w:div>
    <w:div w:id="1506282671">
      <w:bodyDiv w:val="1"/>
      <w:marLeft w:val="0"/>
      <w:marRight w:val="0"/>
      <w:marTop w:val="0"/>
      <w:marBottom w:val="0"/>
      <w:divBdr>
        <w:top w:val="none" w:sz="0" w:space="0" w:color="auto"/>
        <w:left w:val="none" w:sz="0" w:space="0" w:color="auto"/>
        <w:bottom w:val="none" w:sz="0" w:space="0" w:color="auto"/>
        <w:right w:val="none" w:sz="0" w:space="0" w:color="auto"/>
      </w:divBdr>
    </w:div>
    <w:div w:id="1558665132">
      <w:bodyDiv w:val="1"/>
      <w:marLeft w:val="0"/>
      <w:marRight w:val="0"/>
      <w:marTop w:val="0"/>
      <w:marBottom w:val="0"/>
      <w:divBdr>
        <w:top w:val="none" w:sz="0" w:space="0" w:color="auto"/>
        <w:left w:val="none" w:sz="0" w:space="0" w:color="auto"/>
        <w:bottom w:val="none" w:sz="0" w:space="0" w:color="auto"/>
        <w:right w:val="none" w:sz="0" w:space="0" w:color="auto"/>
      </w:divBdr>
    </w:div>
    <w:div w:id="1560555784">
      <w:bodyDiv w:val="1"/>
      <w:marLeft w:val="0"/>
      <w:marRight w:val="0"/>
      <w:marTop w:val="0"/>
      <w:marBottom w:val="0"/>
      <w:divBdr>
        <w:top w:val="none" w:sz="0" w:space="0" w:color="auto"/>
        <w:left w:val="none" w:sz="0" w:space="0" w:color="auto"/>
        <w:bottom w:val="none" w:sz="0" w:space="0" w:color="auto"/>
        <w:right w:val="none" w:sz="0" w:space="0" w:color="auto"/>
      </w:divBdr>
    </w:div>
    <w:div w:id="1655835914">
      <w:bodyDiv w:val="1"/>
      <w:marLeft w:val="0"/>
      <w:marRight w:val="0"/>
      <w:marTop w:val="0"/>
      <w:marBottom w:val="0"/>
      <w:divBdr>
        <w:top w:val="none" w:sz="0" w:space="0" w:color="auto"/>
        <w:left w:val="none" w:sz="0" w:space="0" w:color="auto"/>
        <w:bottom w:val="none" w:sz="0" w:space="0" w:color="auto"/>
        <w:right w:val="none" w:sz="0" w:space="0" w:color="auto"/>
      </w:divBdr>
    </w:div>
    <w:div w:id="1711371909">
      <w:bodyDiv w:val="1"/>
      <w:marLeft w:val="0"/>
      <w:marRight w:val="0"/>
      <w:marTop w:val="0"/>
      <w:marBottom w:val="0"/>
      <w:divBdr>
        <w:top w:val="none" w:sz="0" w:space="0" w:color="auto"/>
        <w:left w:val="none" w:sz="0" w:space="0" w:color="auto"/>
        <w:bottom w:val="none" w:sz="0" w:space="0" w:color="auto"/>
        <w:right w:val="none" w:sz="0" w:space="0" w:color="auto"/>
      </w:divBdr>
    </w:div>
    <w:div w:id="1723093554">
      <w:bodyDiv w:val="1"/>
      <w:marLeft w:val="0"/>
      <w:marRight w:val="0"/>
      <w:marTop w:val="0"/>
      <w:marBottom w:val="0"/>
      <w:divBdr>
        <w:top w:val="none" w:sz="0" w:space="0" w:color="auto"/>
        <w:left w:val="none" w:sz="0" w:space="0" w:color="auto"/>
        <w:bottom w:val="none" w:sz="0" w:space="0" w:color="auto"/>
        <w:right w:val="none" w:sz="0" w:space="0" w:color="auto"/>
      </w:divBdr>
    </w:div>
    <w:div w:id="1741828376">
      <w:bodyDiv w:val="1"/>
      <w:marLeft w:val="0"/>
      <w:marRight w:val="0"/>
      <w:marTop w:val="0"/>
      <w:marBottom w:val="0"/>
      <w:divBdr>
        <w:top w:val="none" w:sz="0" w:space="0" w:color="auto"/>
        <w:left w:val="none" w:sz="0" w:space="0" w:color="auto"/>
        <w:bottom w:val="none" w:sz="0" w:space="0" w:color="auto"/>
        <w:right w:val="none" w:sz="0" w:space="0" w:color="auto"/>
      </w:divBdr>
    </w:div>
    <w:div w:id="1768766714">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 w:id="1788886756">
      <w:bodyDiv w:val="1"/>
      <w:marLeft w:val="0"/>
      <w:marRight w:val="0"/>
      <w:marTop w:val="0"/>
      <w:marBottom w:val="0"/>
      <w:divBdr>
        <w:top w:val="none" w:sz="0" w:space="0" w:color="auto"/>
        <w:left w:val="none" w:sz="0" w:space="0" w:color="auto"/>
        <w:bottom w:val="none" w:sz="0" w:space="0" w:color="auto"/>
        <w:right w:val="none" w:sz="0" w:space="0" w:color="auto"/>
      </w:divBdr>
    </w:div>
    <w:div w:id="1797986640">
      <w:bodyDiv w:val="1"/>
      <w:marLeft w:val="0"/>
      <w:marRight w:val="0"/>
      <w:marTop w:val="0"/>
      <w:marBottom w:val="0"/>
      <w:divBdr>
        <w:top w:val="none" w:sz="0" w:space="0" w:color="auto"/>
        <w:left w:val="none" w:sz="0" w:space="0" w:color="auto"/>
        <w:bottom w:val="none" w:sz="0" w:space="0" w:color="auto"/>
        <w:right w:val="none" w:sz="0" w:space="0" w:color="auto"/>
      </w:divBdr>
    </w:div>
    <w:div w:id="1847092910">
      <w:bodyDiv w:val="1"/>
      <w:marLeft w:val="0"/>
      <w:marRight w:val="0"/>
      <w:marTop w:val="0"/>
      <w:marBottom w:val="0"/>
      <w:divBdr>
        <w:top w:val="none" w:sz="0" w:space="0" w:color="auto"/>
        <w:left w:val="none" w:sz="0" w:space="0" w:color="auto"/>
        <w:bottom w:val="none" w:sz="0" w:space="0" w:color="auto"/>
        <w:right w:val="none" w:sz="0" w:space="0" w:color="auto"/>
      </w:divBdr>
    </w:div>
    <w:div w:id="1850869555">
      <w:bodyDiv w:val="1"/>
      <w:marLeft w:val="0"/>
      <w:marRight w:val="0"/>
      <w:marTop w:val="0"/>
      <w:marBottom w:val="0"/>
      <w:divBdr>
        <w:top w:val="none" w:sz="0" w:space="0" w:color="auto"/>
        <w:left w:val="none" w:sz="0" w:space="0" w:color="auto"/>
        <w:bottom w:val="none" w:sz="0" w:space="0" w:color="auto"/>
        <w:right w:val="none" w:sz="0" w:space="0" w:color="auto"/>
      </w:divBdr>
    </w:div>
    <w:div w:id="1895433686">
      <w:bodyDiv w:val="1"/>
      <w:marLeft w:val="0"/>
      <w:marRight w:val="0"/>
      <w:marTop w:val="0"/>
      <w:marBottom w:val="0"/>
      <w:divBdr>
        <w:top w:val="none" w:sz="0" w:space="0" w:color="auto"/>
        <w:left w:val="none" w:sz="0" w:space="0" w:color="auto"/>
        <w:bottom w:val="none" w:sz="0" w:space="0" w:color="auto"/>
        <w:right w:val="none" w:sz="0" w:space="0" w:color="auto"/>
      </w:divBdr>
    </w:div>
    <w:div w:id="1925869200">
      <w:bodyDiv w:val="1"/>
      <w:marLeft w:val="0"/>
      <w:marRight w:val="0"/>
      <w:marTop w:val="0"/>
      <w:marBottom w:val="0"/>
      <w:divBdr>
        <w:top w:val="none" w:sz="0" w:space="0" w:color="auto"/>
        <w:left w:val="none" w:sz="0" w:space="0" w:color="auto"/>
        <w:bottom w:val="none" w:sz="0" w:space="0" w:color="auto"/>
        <w:right w:val="none" w:sz="0" w:space="0" w:color="auto"/>
      </w:divBdr>
    </w:div>
    <w:div w:id="1927152402">
      <w:bodyDiv w:val="1"/>
      <w:marLeft w:val="0"/>
      <w:marRight w:val="0"/>
      <w:marTop w:val="0"/>
      <w:marBottom w:val="0"/>
      <w:divBdr>
        <w:top w:val="none" w:sz="0" w:space="0" w:color="auto"/>
        <w:left w:val="none" w:sz="0" w:space="0" w:color="auto"/>
        <w:bottom w:val="none" w:sz="0" w:space="0" w:color="auto"/>
        <w:right w:val="none" w:sz="0" w:space="0" w:color="auto"/>
      </w:divBdr>
    </w:div>
    <w:div w:id="1963271213">
      <w:bodyDiv w:val="1"/>
      <w:marLeft w:val="0"/>
      <w:marRight w:val="0"/>
      <w:marTop w:val="0"/>
      <w:marBottom w:val="0"/>
      <w:divBdr>
        <w:top w:val="none" w:sz="0" w:space="0" w:color="auto"/>
        <w:left w:val="none" w:sz="0" w:space="0" w:color="auto"/>
        <w:bottom w:val="none" w:sz="0" w:space="0" w:color="auto"/>
        <w:right w:val="none" w:sz="0" w:space="0" w:color="auto"/>
      </w:divBdr>
    </w:div>
    <w:div w:id="1969969706">
      <w:bodyDiv w:val="1"/>
      <w:marLeft w:val="0"/>
      <w:marRight w:val="0"/>
      <w:marTop w:val="0"/>
      <w:marBottom w:val="0"/>
      <w:divBdr>
        <w:top w:val="none" w:sz="0" w:space="0" w:color="auto"/>
        <w:left w:val="none" w:sz="0" w:space="0" w:color="auto"/>
        <w:bottom w:val="none" w:sz="0" w:space="0" w:color="auto"/>
        <w:right w:val="none" w:sz="0" w:space="0" w:color="auto"/>
      </w:divBdr>
    </w:div>
    <w:div w:id="1990669737">
      <w:bodyDiv w:val="1"/>
      <w:marLeft w:val="0"/>
      <w:marRight w:val="0"/>
      <w:marTop w:val="0"/>
      <w:marBottom w:val="0"/>
      <w:divBdr>
        <w:top w:val="none" w:sz="0" w:space="0" w:color="auto"/>
        <w:left w:val="none" w:sz="0" w:space="0" w:color="auto"/>
        <w:bottom w:val="none" w:sz="0" w:space="0" w:color="auto"/>
        <w:right w:val="none" w:sz="0" w:space="0" w:color="auto"/>
      </w:divBdr>
    </w:div>
    <w:div w:id="1993949098">
      <w:bodyDiv w:val="1"/>
      <w:marLeft w:val="0"/>
      <w:marRight w:val="0"/>
      <w:marTop w:val="0"/>
      <w:marBottom w:val="0"/>
      <w:divBdr>
        <w:top w:val="none" w:sz="0" w:space="0" w:color="auto"/>
        <w:left w:val="none" w:sz="0" w:space="0" w:color="auto"/>
        <w:bottom w:val="none" w:sz="0" w:space="0" w:color="auto"/>
        <w:right w:val="none" w:sz="0" w:space="0" w:color="auto"/>
      </w:divBdr>
    </w:div>
    <w:div w:id="1998729446">
      <w:bodyDiv w:val="1"/>
      <w:marLeft w:val="0"/>
      <w:marRight w:val="0"/>
      <w:marTop w:val="0"/>
      <w:marBottom w:val="0"/>
      <w:divBdr>
        <w:top w:val="none" w:sz="0" w:space="0" w:color="auto"/>
        <w:left w:val="none" w:sz="0" w:space="0" w:color="auto"/>
        <w:bottom w:val="none" w:sz="0" w:space="0" w:color="auto"/>
        <w:right w:val="none" w:sz="0" w:space="0" w:color="auto"/>
      </w:divBdr>
    </w:div>
    <w:div w:id="2100709147">
      <w:bodyDiv w:val="1"/>
      <w:marLeft w:val="0"/>
      <w:marRight w:val="0"/>
      <w:marTop w:val="0"/>
      <w:marBottom w:val="0"/>
      <w:divBdr>
        <w:top w:val="none" w:sz="0" w:space="0" w:color="auto"/>
        <w:left w:val="none" w:sz="0" w:space="0" w:color="auto"/>
        <w:bottom w:val="none" w:sz="0" w:space="0" w:color="auto"/>
        <w:right w:val="none" w:sz="0" w:space="0" w:color="auto"/>
      </w:divBdr>
    </w:div>
    <w:div w:id="210784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gov/news-events/news/press-releases/2023/01/ftc-proposes-rule-ban-noncompete-clauses-which-hurt-workers-harm-competition?utm_source=govdelivery" TargetMode="External"/><Relationship Id="rId13" Type="http://schemas.openxmlformats.org/officeDocument/2006/relationships/hyperlink" Target="https://www.federalreserve.gov/newsevents/speech/cook20230106a.htm" TargetMode="External"/><Relationship Id="rId18" Type="http://schemas.openxmlformats.org/officeDocument/2006/relationships/hyperlink" Target="http://www.occ.gov/flu" TargetMode="External"/><Relationship Id="rId26" Type="http://schemas.openxmlformats.org/officeDocument/2006/relationships/hyperlink" Target="https://bsr.stlouisfed.org/askthefed/Auth/Logon" TargetMode="External"/><Relationship Id="rId3" Type="http://schemas.openxmlformats.org/officeDocument/2006/relationships/styles" Target="styles.xml"/><Relationship Id="rId21" Type="http://schemas.openxmlformats.org/officeDocument/2006/relationships/hyperlink" Target="https://ffiec.cfpb.gov/filing/" TargetMode="External"/><Relationship Id="rId7" Type="http://schemas.openxmlformats.org/officeDocument/2006/relationships/endnotes" Target="endnotes.xml"/><Relationship Id="rId12" Type="http://schemas.openxmlformats.org/officeDocument/2006/relationships/hyperlink" Target="https://texreg.sos.state.tx.us/public/readtac$ext.TacPage?sl=R&amp;app=3&amp;p_dir=&amp;p_rloc=170966&amp;p_tloc=&amp;p_ploc=&amp;pg=1&amp;p_tac=170966&amp;ti=7&amp;pt=8&amp;ch=153&amp;rl=15&amp;dt=01/02/2015" TargetMode="External"/><Relationship Id="rId17" Type="http://schemas.openxmlformats.org/officeDocument/2006/relationships/hyperlink" Target="https://nam12.safelinks.protection.outlook.com/?url=https%3A%2F%2Flnks.gd%2Fl%2FeyJhbGciOiJIUzI1NiJ9.eyJidWxsZXRpbl9saW5rX2lkIjoxMDEsInVyaSI6ImJwMjpjbGljayIsImJ1bGxldGluX2lkIjoiMjAyMzAxMDMuNjkxNTE5NjEiLCJ1cmwiOiJodHRwczovL3d3dy5vY2MuZ292L3B1YmxpY2F0aW9ucy1hbmQtcmVzb3VyY2VzL3B1YmxpY2F0aW9ucy9jb21tdW5pdHktYWZmYWlycy9pbmRleC1jb21tdW5pdHktYWZmYWlycy1wdWJsaWNhdGlvbnMuaHRtbCJ9.GjrDB0t4MWCM1aIX-tRADtHM9okYBOde4IOow0qC4Jg%2Fs%2F1306541467%2Fbr%2F151606703477-l&amp;data=05%7C01%7C%7Cbd3e92b43e394c42ccb808daeda4f8e3%7C77596ed9db5b4a61802477a1ecb2c558%7C0%7C0%7C638083590228303487%7CUnknown%7CTWFpbGZsb3d8eyJWIjoiMC4wLjAwMDAiLCJQIjoiV2luMzIiLCJBTiI6Ik1haWwiLCJXVCI6Mn0%3D%7C3000%7C%7C%7C&amp;sdata=Yx8OhcT4jj9XKy7AK9Nc%2BG0pK9TIA9l9p6F5m%2FebR3s%3D&amp;reserved=0" TargetMode="External"/><Relationship Id="rId25" Type="http://schemas.openxmlformats.org/officeDocument/2006/relationships/hyperlink" Target="https://hmdahelp.consumerfinance.gov/" TargetMode="External"/><Relationship Id="rId2" Type="http://schemas.openxmlformats.org/officeDocument/2006/relationships/numbering" Target="numbering.xml"/><Relationship Id="rId16" Type="http://schemas.openxmlformats.org/officeDocument/2006/relationships/hyperlink" Target="https://nam12.safelinks.protection.outlook.com/?url=https%3A%2F%2Flnks.gd%2Fl%2FeyJhbGciOiJIUzI1NiJ9.eyJidWxsZXRpbl9saW5rX2lkIjoxMDIsInVyaSI6ImJwMjpjbGljayIsImJ1bGxldGluX2lkIjoiMjAyMzAxMDUuNjkyNzIyODEiLCJ1cmwiOiJodHRwczovL3d3dy5mZGljLmdvdi9uZXdzL2ZpbmFuY2lhbC1pbnN0aXR1dGlvbi1sZXR0ZXJzLzIwMjMvZmlsMjMwMDEuaHRtbD9zb3VyY2U9Z292ZGVsaXZlcnkmdXRtX21lZGl1bT1lbWFpbCZ1dG1fc291cmNlPWdvdmRlbGl2ZXJ5In0.gB3DLWns3eqwpJ7Tisra9x5vGfQ_xCSXPB5nVpIxonM%2Fs%2F104885428%2Fbr%2F151800751662-l&amp;data=05%7C01%7C%7C25f3332abbec40352a6c08daef30b9a7%7C77596ed9db5b4a61802477a1ecb2c558%7C0%7C0%7C638085289965608170%7CUnknown%7CTWFpbGZsb3d8eyJWIjoiMC4wLjAwMDAiLCJQIjoiV2luMzIiLCJBTiI6Ik1haWwiLCJXVCI6Mn0%3D%7C3000%7C%7C%7C&amp;sdata=KiT5w0gVJKfqN%2F3Hug9Q4i2DGZpNtWlMIAKgl9mshLY%3D&amp;reserved=0" TargetMode="External"/><Relationship Id="rId20" Type="http://schemas.openxmlformats.org/officeDocument/2006/relationships/hyperlink" Target="https://ffiec.cfpb.gov/" TargetMode="External"/><Relationship Id="rId29" Type="http://schemas.openxmlformats.org/officeDocument/2006/relationships/hyperlink" Target="https://www.federalregister.gov/documents/2022/12/16/2022-27031/beneficial-ownership-information-access-and-safeguards-and-use-of-fincen-identifiers-for-ent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lnks.gd%2Fl%2FeyJhbGciOiJIUzI1NiJ9.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.M6wHaAItfPkTEyeSMVD_HcebU-sPyc51FsaRAzi3R80%2Fs%2F10196239%2Fbr%2F151885951161-l&amp;data=05%7C01%7C%7C0573bb8307084d0265b108daf02003e3%7C77596ed9db5b4a61802477a1ecb2c558%7C0%7C0%7C638086317566755623%7CUnknown%7CTWFpbGZsb3d8eyJWIjoiMC4wLjAwMDAiLCJQIjoiV2luMzIiLCJBTiI6Ik1haWwiLCJXVCI6Mn0%3D%7C3000%7C%7C%7C&amp;sdata=Nfpg0DsmGA6MUO21SOH6zV6rZV7qTM18kLPb6HUWYnw%3D&amp;reserved=0" TargetMode="External"/><Relationship Id="rId24" Type="http://schemas.openxmlformats.org/officeDocument/2006/relationships/hyperlink" Target="mailto:hmdahelp@cfpb.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cc.gov/about/what-we-do/annual-report/index.html" TargetMode="External"/><Relationship Id="rId23" Type="http://schemas.openxmlformats.org/officeDocument/2006/relationships/hyperlink" Target="https://ffiec.cfpb.gov/filing/" TargetMode="External"/><Relationship Id="rId28" Type="http://schemas.openxmlformats.org/officeDocument/2006/relationships/hyperlink" Target="https://www.federalreserve.gov/newsevents/pressreleases/files/other20221104a1.pdf" TargetMode="External"/><Relationship Id="rId10" Type="http://schemas.openxmlformats.org/officeDocument/2006/relationships/hyperlink" Target="file:///C:\Users\13608\AppData\Local\Microsoft\Windows\INetCache\Content.Outlook\6HJ25NGA\AppraisalBiasHearing@asc.gov" TargetMode="External"/><Relationship Id="rId19" Type="http://schemas.openxmlformats.org/officeDocument/2006/relationships/hyperlink" Target="https://www.ftc.gov/news-events/news/press-releases/2023/01/ftc-proposes-rule-ban-noncompete-clauses-which-hurt-workers-harm-competition?utm_source=govdeliver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2.safelinks.protection.outlook.com/?url=https%3A%2F%2Flnks.gd%2Fl%2FeyJhbGciOiJIUzI1NiJ9.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.7HUSvejTBX3NrqbeH9H3KgIC7DPZxrHKFGKwI2UX-zc%2Fs%2F10196239%2Fbr%2F151885951161-l&amp;data=05%7C01%7C%7C0573bb8307084d0265b108daf02003e3%7C77596ed9db5b4a61802477a1ecb2c558%7C0%7C0%7C638086317566755623%7CUnknown%7CTWFpbGZsb3d8eyJWIjoiMC4wLjAwMDAiLCJQIjoiV2luMzIiLCJBTiI6Ik1haWwiLCJXVCI6Mn0%3D%7C3000%7C%7C%7C&amp;sdata=1BXySgRwrBSNHLOZB1eh71Cg5Qh0J1g4JY42AHJZKhs%3D&amp;reserved=0" TargetMode="External"/><Relationship Id="rId14" Type="http://schemas.openxmlformats.org/officeDocument/2006/relationships/hyperlink" Target="https://www.occ.gov/news-issuances/news-releases/2023/nr-occ-2023-2.html" TargetMode="External"/><Relationship Id="rId22" Type="http://schemas.openxmlformats.org/officeDocument/2006/relationships/hyperlink" Target="https://ffiec.beta.cfpb.gov/filing/" TargetMode="External"/><Relationship Id="rId27" Type="http://schemas.openxmlformats.org/officeDocument/2006/relationships/hyperlink" Target="mailto:questions@askthefed.org" TargetMode="External"/><Relationship Id="rId30" Type="http://schemas.openxmlformats.org/officeDocument/2006/relationships/hyperlink" Target="https://www.ftc.gov/legal-library/browse/federal-register-notices/non-compete-clause-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53EC-1E0D-45A0-8451-AD6A225D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Greavu</dc:creator>
  <cp:keywords/>
  <dc:description/>
  <cp:lastModifiedBy>CBW Mail</cp:lastModifiedBy>
  <cp:revision>2</cp:revision>
  <cp:lastPrinted>2022-08-01T14:33:00Z</cp:lastPrinted>
  <dcterms:created xsi:type="dcterms:W3CDTF">2023-01-10T16:36:00Z</dcterms:created>
  <dcterms:modified xsi:type="dcterms:W3CDTF">2023-01-10T16:36:00Z</dcterms:modified>
</cp:coreProperties>
</file>