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3A62" w14:textId="5BD02E92" w:rsidR="001D488F" w:rsidRPr="001E0B8E" w:rsidRDefault="00AC1F42" w:rsidP="000015D0">
      <w:pPr>
        <w:jc w:val="center"/>
        <w:rPr>
          <w:b/>
          <w:bCs/>
          <w:strike/>
          <w:color w:val="29588C"/>
          <w:sz w:val="40"/>
          <w:szCs w:val="40"/>
        </w:rPr>
      </w:pPr>
      <w:r w:rsidRPr="00643516">
        <w:rPr>
          <w:b/>
          <w:bCs/>
          <w:color w:val="002060"/>
          <w:sz w:val="40"/>
          <w:szCs w:val="40"/>
        </w:rPr>
        <w:t>Re</w:t>
      </w:r>
      <w:r w:rsidR="001D488F" w:rsidRPr="00643516">
        <w:rPr>
          <w:b/>
          <w:bCs/>
          <w:color w:val="002060"/>
          <w:sz w:val="40"/>
          <w:szCs w:val="40"/>
        </w:rPr>
        <w:t xml:space="preserve">gulatory </w:t>
      </w:r>
      <w:r w:rsidR="001D488F" w:rsidRPr="0032610A">
        <w:rPr>
          <w:b/>
          <w:bCs/>
          <w:color w:val="002060"/>
          <w:sz w:val="40"/>
          <w:szCs w:val="40"/>
        </w:rPr>
        <w:t>Dispatch</w:t>
      </w:r>
    </w:p>
    <w:p w14:paraId="593C85A7" w14:textId="77777777" w:rsidR="001D2E7A" w:rsidRPr="00D038B1" w:rsidRDefault="001D2E7A" w:rsidP="000015D0">
      <w:pPr>
        <w:jc w:val="center"/>
        <w:rPr>
          <w:b/>
          <w:bCs/>
          <w:i/>
          <w:iCs/>
        </w:rPr>
      </w:pPr>
      <w:r w:rsidRPr="00D038B1">
        <w:rPr>
          <w:b/>
          <w:bCs/>
          <w:i/>
          <w:iCs/>
        </w:rPr>
        <w:t xml:space="preserve">Timely news and resources community bankers can </w:t>
      </w:r>
      <w:proofErr w:type="gramStart"/>
      <w:r w:rsidRPr="00D038B1">
        <w:rPr>
          <w:b/>
          <w:bCs/>
          <w:i/>
          <w:iCs/>
        </w:rPr>
        <w:t>use</w:t>
      </w:r>
      <w:proofErr w:type="gramEnd"/>
      <w:r w:rsidRPr="00D038B1">
        <w:rPr>
          <w:b/>
          <w:bCs/>
          <w:i/>
          <w:iCs/>
        </w:rPr>
        <w:t xml:space="preserve"> </w:t>
      </w:r>
    </w:p>
    <w:p w14:paraId="782C57B3" w14:textId="11A4B40F" w:rsidR="001D488F" w:rsidRDefault="001D2E7A" w:rsidP="00291837">
      <w:pPr>
        <w:jc w:val="center"/>
        <w:rPr>
          <w:b/>
          <w:bCs/>
          <w:i/>
          <w:iCs/>
        </w:rPr>
      </w:pPr>
      <w:r w:rsidRPr="00D038B1">
        <w:rPr>
          <w:b/>
          <w:bCs/>
          <w:i/>
          <w:iCs/>
        </w:rPr>
        <w:t>to better stay on top of a rapidly changing world.</w:t>
      </w:r>
    </w:p>
    <w:p w14:paraId="222A749C" w14:textId="594515C5" w:rsidR="00291837" w:rsidRPr="001E0B8E" w:rsidRDefault="00291837" w:rsidP="008D4A1D">
      <w:pPr>
        <w:spacing w:after="0" w:line="240" w:lineRule="auto"/>
        <w:rPr>
          <w:rFonts w:ascii="Calibri" w:eastAsia="Times New Roman" w:hAnsi="Calibri" w:cs="Calibri"/>
        </w:rPr>
      </w:pPr>
      <w:bookmarkStart w:id="0" w:name="_Hlk80258260"/>
      <w:bookmarkStart w:id="1" w:name="_Hlk83204901"/>
      <w:bookmarkStart w:id="2" w:name="_Hlk79564040"/>
      <w:bookmarkStart w:id="3" w:name="_Hlk81988823"/>
    </w:p>
    <w:p w14:paraId="71F82DEB" w14:textId="5F3F87EB" w:rsidR="00AF3B7C" w:rsidRDefault="00905463" w:rsidP="006B7161">
      <w:pPr>
        <w:rPr>
          <w:rFonts w:cstheme="minorHAnsi"/>
          <w:b/>
          <w:bCs/>
          <w:sz w:val="28"/>
          <w:szCs w:val="28"/>
        </w:rPr>
      </w:pPr>
      <w:bookmarkStart w:id="4" w:name="_Hlk83806435"/>
      <w:bookmarkStart w:id="5" w:name="_Hlk84405847"/>
      <w:bookmarkStart w:id="6" w:name="_Hlk85004969"/>
      <w:bookmarkStart w:id="7" w:name="_Hlk86221722"/>
      <w:bookmarkStart w:id="8" w:name="_Hlk87422987"/>
      <w:bookmarkStart w:id="9" w:name="_Hlk118437976"/>
      <w:bookmarkStart w:id="10" w:name="_Hlk116453118"/>
      <w:bookmarkStart w:id="11" w:name="_Hlk90457423"/>
      <w:r>
        <w:rPr>
          <w:rFonts w:cstheme="minorHAnsi"/>
          <w:b/>
          <w:bCs/>
          <w:sz w:val="28"/>
          <w:szCs w:val="28"/>
        </w:rPr>
        <w:t xml:space="preserve">CSBS </w:t>
      </w:r>
      <w:hyperlink r:id="rId8" w:history="1">
        <w:r w:rsidRPr="00905463">
          <w:rPr>
            <w:rStyle w:val="Hyperlink"/>
            <w:rFonts w:cstheme="minorHAnsi"/>
            <w:b/>
            <w:bCs/>
            <w:sz w:val="28"/>
            <w:szCs w:val="28"/>
          </w:rPr>
          <w:t>State Regulator Priorities in 2023</w:t>
        </w:r>
      </w:hyperlink>
    </w:p>
    <w:p w14:paraId="67CD8BB6" w14:textId="77777777" w:rsidR="00905463" w:rsidRPr="00905463" w:rsidRDefault="00905463" w:rsidP="00905463">
      <w:pPr>
        <w:rPr>
          <w:rFonts w:eastAsia="Calibri" w:cstheme="minorHAnsi"/>
          <w:color w:val="101820"/>
          <w:sz w:val="24"/>
          <w:szCs w:val="24"/>
        </w:rPr>
      </w:pPr>
      <w:r w:rsidRPr="00905463">
        <w:rPr>
          <w:rFonts w:eastAsia="Calibri" w:cstheme="minorHAnsi"/>
          <w:color w:val="101820"/>
          <w:sz w:val="24"/>
          <w:szCs w:val="24"/>
        </w:rPr>
        <w:t xml:space="preserve">State regulators have an important mandate that requires them to protect consumers, ensure the safety and soundness of their institutions and promote economic growth. Today we talk about the priorities of state regulators in 2023, focusing on legislation, state-federal </w:t>
      </w:r>
      <w:proofErr w:type="gramStart"/>
      <w:r w:rsidRPr="00905463">
        <w:rPr>
          <w:rFonts w:eastAsia="Calibri" w:cstheme="minorHAnsi"/>
          <w:color w:val="101820"/>
          <w:sz w:val="24"/>
          <w:szCs w:val="24"/>
        </w:rPr>
        <w:t>partnerships</w:t>
      </w:r>
      <w:proofErr w:type="gramEnd"/>
      <w:r w:rsidRPr="00905463">
        <w:rPr>
          <w:rFonts w:eastAsia="Calibri" w:cstheme="minorHAnsi"/>
          <w:color w:val="101820"/>
          <w:sz w:val="24"/>
          <w:szCs w:val="24"/>
        </w:rPr>
        <w:t xml:space="preserve"> and Networked Supervision.</w:t>
      </w:r>
    </w:p>
    <w:p w14:paraId="6442D8F2" w14:textId="77777777" w:rsidR="00905463" w:rsidRPr="00905463" w:rsidRDefault="00905463" w:rsidP="00905463">
      <w:pPr>
        <w:rPr>
          <w:rFonts w:eastAsia="Calibri" w:cstheme="minorHAnsi"/>
          <w:color w:val="101820"/>
          <w:sz w:val="24"/>
          <w:szCs w:val="24"/>
        </w:rPr>
      </w:pPr>
      <w:r w:rsidRPr="00905463">
        <w:rPr>
          <w:rFonts w:eastAsia="Calibri" w:cstheme="minorHAnsi"/>
          <w:color w:val="101820"/>
          <w:sz w:val="24"/>
          <w:szCs w:val="24"/>
        </w:rPr>
        <w:t>Guests:</w:t>
      </w:r>
    </w:p>
    <w:p w14:paraId="7389B9DE" w14:textId="77777777" w:rsidR="00905463" w:rsidRPr="00905463" w:rsidRDefault="00905463" w:rsidP="00905463">
      <w:pPr>
        <w:rPr>
          <w:rFonts w:eastAsia="Calibri" w:cstheme="minorHAnsi"/>
          <w:color w:val="101820"/>
          <w:sz w:val="24"/>
          <w:szCs w:val="24"/>
        </w:rPr>
      </w:pPr>
      <w:r w:rsidRPr="00905463">
        <w:rPr>
          <w:rFonts w:eastAsia="Calibri" w:cstheme="minorHAnsi"/>
          <w:color w:val="101820"/>
          <w:sz w:val="24"/>
          <w:szCs w:val="24"/>
        </w:rPr>
        <w:t>Jim Cooper - President and CEO, CSBS</w:t>
      </w:r>
    </w:p>
    <w:p w14:paraId="064BA971" w14:textId="05AC6074" w:rsidR="007B0CBD" w:rsidRPr="00905463" w:rsidRDefault="00905463" w:rsidP="00905463">
      <w:pPr>
        <w:rPr>
          <w:rFonts w:eastAsia="Calibri" w:cstheme="minorHAnsi"/>
          <w:color w:val="101820"/>
          <w:sz w:val="24"/>
          <w:szCs w:val="24"/>
        </w:rPr>
      </w:pPr>
      <w:r w:rsidRPr="00905463">
        <w:rPr>
          <w:rFonts w:eastAsia="Calibri" w:cstheme="minorHAnsi"/>
          <w:color w:val="101820"/>
          <w:sz w:val="24"/>
          <w:szCs w:val="24"/>
        </w:rPr>
        <w:t>Karen Lawson - Executive Vice President of Policy and Supervision, CSBS</w:t>
      </w:r>
    </w:p>
    <w:p w14:paraId="277E6CDA" w14:textId="3509AD7F" w:rsidR="00494CF2" w:rsidRPr="00494CF2" w:rsidRDefault="00494CF2" w:rsidP="007B0CBD">
      <w:pPr>
        <w:rPr>
          <w:rFonts w:cstheme="minorHAnsi"/>
          <w:b/>
          <w:bCs/>
          <w:i/>
          <w:iCs/>
          <w:color w:val="002060"/>
          <w:sz w:val="24"/>
          <w:szCs w:val="24"/>
        </w:rPr>
      </w:pPr>
      <w:r w:rsidRPr="00494CF2">
        <w:rPr>
          <w:rFonts w:cstheme="minorHAnsi"/>
          <w:b/>
          <w:bCs/>
          <w:i/>
          <w:iCs/>
          <w:color w:val="002060"/>
          <w:sz w:val="24"/>
          <w:szCs w:val="24"/>
        </w:rPr>
        <w:t xml:space="preserve">Comment: </w:t>
      </w:r>
      <w:r w:rsidR="001E2B98">
        <w:rPr>
          <w:rFonts w:cstheme="minorHAnsi"/>
          <w:b/>
          <w:bCs/>
          <w:i/>
          <w:iCs/>
          <w:color w:val="002060"/>
          <w:sz w:val="24"/>
          <w:szCs w:val="24"/>
        </w:rPr>
        <w:t xml:space="preserve">State regulators have </w:t>
      </w:r>
      <w:proofErr w:type="gramStart"/>
      <w:r w:rsidR="001E2B98">
        <w:rPr>
          <w:rFonts w:cstheme="minorHAnsi"/>
          <w:b/>
          <w:bCs/>
          <w:i/>
          <w:iCs/>
          <w:color w:val="002060"/>
          <w:sz w:val="24"/>
          <w:szCs w:val="24"/>
        </w:rPr>
        <w:t>a three goals</w:t>
      </w:r>
      <w:proofErr w:type="gramEnd"/>
      <w:r w:rsidR="001E2B98">
        <w:rPr>
          <w:rFonts w:cstheme="minorHAnsi"/>
          <w:b/>
          <w:bCs/>
          <w:i/>
          <w:iCs/>
          <w:color w:val="002060"/>
          <w:sz w:val="24"/>
          <w:szCs w:val="24"/>
        </w:rPr>
        <w:t xml:space="preserve"> in the supervision of banks – protect consumers, ensure the safety and soundness of the state banking system and foster economic growth. </w:t>
      </w:r>
      <w:r w:rsidR="00193751">
        <w:rPr>
          <w:rFonts w:cstheme="minorHAnsi"/>
          <w:b/>
          <w:bCs/>
          <w:i/>
          <w:iCs/>
          <w:color w:val="002060"/>
          <w:sz w:val="24"/>
          <w:szCs w:val="24"/>
        </w:rPr>
        <w:t xml:space="preserve"> </w:t>
      </w:r>
      <w:r w:rsidR="001E2B98">
        <w:rPr>
          <w:rFonts w:cstheme="minorHAnsi"/>
          <w:b/>
          <w:bCs/>
          <w:i/>
          <w:iCs/>
          <w:color w:val="002060"/>
          <w:sz w:val="24"/>
          <w:szCs w:val="24"/>
        </w:rPr>
        <w:t>This podcast outlines the CSBS’s legislative priorities for 2023 aimed at supporting those goals.</w:t>
      </w:r>
    </w:p>
    <w:p w14:paraId="3E438A5C" w14:textId="77777777" w:rsidR="002078B2" w:rsidRPr="002078B2" w:rsidRDefault="002078B2" w:rsidP="00971DC0">
      <w:pPr>
        <w:spacing w:after="0" w:line="240" w:lineRule="auto"/>
        <w:rPr>
          <w:rFonts w:cstheme="minorHAnsi"/>
          <w:color w:val="000000" w:themeColor="text1"/>
        </w:rPr>
      </w:pPr>
    </w:p>
    <w:p w14:paraId="293F838C" w14:textId="77777777" w:rsidR="00861A50" w:rsidRPr="00861A50" w:rsidRDefault="00861A50" w:rsidP="00470F65">
      <w:pPr>
        <w:spacing w:after="0" w:line="240" w:lineRule="auto"/>
        <w:rPr>
          <w:rFonts w:ascii="Calibri" w:eastAsia="Calibri" w:hAnsi="Calibri" w:cs="Calibri"/>
          <w:color w:val="000000"/>
        </w:rPr>
      </w:pPr>
      <w:bookmarkStart w:id="12" w:name="_Hlk107990454"/>
      <w:bookmarkStart w:id="13" w:name="_Hlk109197871"/>
      <w:bookmarkStart w:id="14" w:name="_Hlk117665203"/>
      <w:bookmarkStart w:id="15" w:name="_Hlk118873733"/>
      <w:bookmarkStart w:id="16" w:name="_Hlk120083518"/>
      <w:bookmarkStart w:id="17" w:name="_Hlk121294347"/>
      <w:bookmarkStart w:id="18" w:name="_Hlk124921702"/>
      <w:bookmarkStart w:id="19" w:name="_Hlk120691315"/>
      <w:bookmarkStart w:id="20" w:name="_Hlk118105449"/>
      <w:bookmarkStart w:id="21" w:name="_Hlk100735248"/>
      <w:bookmarkStart w:id="22" w:name="_Hlk92872848"/>
      <w:bookmarkStart w:id="23" w:name="_Hlk81984412"/>
      <w:bookmarkEnd w:id="0"/>
      <w:bookmarkEnd w:id="1"/>
      <w:bookmarkEnd w:id="4"/>
      <w:bookmarkEnd w:id="5"/>
      <w:bookmarkEnd w:id="6"/>
      <w:bookmarkEnd w:id="7"/>
      <w:bookmarkEnd w:id="8"/>
      <w:bookmarkEnd w:id="9"/>
      <w:r w:rsidRPr="00861A50">
        <w:rPr>
          <w:rFonts w:ascii="Verdana" w:eastAsia="Calibri" w:hAnsi="Verdana" w:cs="Calibri"/>
          <w:b/>
          <w:bCs/>
          <w:color w:val="002060"/>
          <w:sz w:val="28"/>
          <w:szCs w:val="28"/>
        </w:rPr>
        <w:t>IBAT Insights (Ask IBAT Anything)</w:t>
      </w:r>
      <w:r w:rsidRPr="00861A50">
        <w:rPr>
          <w:rFonts w:ascii="Calibri" w:eastAsia="Calibri" w:hAnsi="Calibri" w:cs="Calibri"/>
          <w:color w:val="002060"/>
        </w:rPr>
        <w:t xml:space="preserve"> </w:t>
      </w:r>
      <w:bookmarkEnd w:id="12"/>
      <w:bookmarkEnd w:id="13"/>
    </w:p>
    <w:p w14:paraId="04A65A9E" w14:textId="77777777" w:rsidR="00861A50" w:rsidRPr="00861A50" w:rsidRDefault="00861A50" w:rsidP="00861A50">
      <w:pPr>
        <w:spacing w:after="0" w:line="240" w:lineRule="auto"/>
        <w:rPr>
          <w:rFonts w:ascii="Calibri" w:eastAsia="Calibri" w:hAnsi="Calibri" w:cs="Calibri"/>
          <w:color w:val="000000"/>
        </w:rPr>
      </w:pPr>
    </w:p>
    <w:bookmarkEnd w:id="2"/>
    <w:bookmarkEnd w:id="3"/>
    <w:bookmarkEnd w:id="10"/>
    <w:bookmarkEnd w:id="11"/>
    <w:bookmarkEnd w:id="14"/>
    <w:bookmarkEnd w:id="15"/>
    <w:bookmarkEnd w:id="16"/>
    <w:bookmarkEnd w:id="17"/>
    <w:bookmarkEnd w:id="18"/>
    <w:bookmarkEnd w:id="19"/>
    <w:bookmarkEnd w:id="20"/>
    <w:bookmarkEnd w:id="21"/>
    <w:bookmarkEnd w:id="22"/>
    <w:bookmarkEnd w:id="23"/>
    <w:p w14:paraId="16CE7092" w14:textId="77777777" w:rsidR="007572B0" w:rsidRPr="007572B0" w:rsidRDefault="007572B0" w:rsidP="007572B0">
      <w:pPr>
        <w:spacing w:after="0" w:line="240" w:lineRule="auto"/>
        <w:rPr>
          <w:rFonts w:ascii="Calibri" w:eastAsia="Calibri" w:hAnsi="Calibri" w:cs="Calibri"/>
          <w:sz w:val="24"/>
          <w:szCs w:val="24"/>
        </w:rPr>
      </w:pPr>
      <w:r w:rsidRPr="007572B0">
        <w:rPr>
          <w:rFonts w:ascii="Calibri" w:eastAsia="Calibri" w:hAnsi="Calibri" w:cs="Calibri"/>
          <w:sz w:val="24"/>
          <w:szCs w:val="24"/>
        </w:rPr>
        <w:t>Q. Our bank has recently been opening quite a significant number of accounts for out of state trusts.  It is no surprise this is occurring based on the number of people moving to Texas from other states.  Our concern is should we, being solely a Texas bank, be requiring customers to create their trusts under the laws of Texas?</w:t>
      </w:r>
    </w:p>
    <w:p w14:paraId="08C15826" w14:textId="77777777" w:rsidR="007572B0" w:rsidRPr="007572B0" w:rsidRDefault="007572B0" w:rsidP="007572B0">
      <w:pPr>
        <w:spacing w:after="0" w:line="240" w:lineRule="auto"/>
        <w:rPr>
          <w:rFonts w:ascii="Calibri" w:eastAsia="Calibri" w:hAnsi="Calibri" w:cs="Calibri"/>
          <w:sz w:val="24"/>
          <w:szCs w:val="24"/>
        </w:rPr>
      </w:pPr>
    </w:p>
    <w:p w14:paraId="7C5F6BBD" w14:textId="77777777" w:rsidR="007572B0" w:rsidRPr="007572B0" w:rsidRDefault="007572B0" w:rsidP="007572B0">
      <w:pPr>
        <w:spacing w:after="0" w:line="240" w:lineRule="auto"/>
        <w:rPr>
          <w:rFonts w:ascii="Calibri" w:eastAsia="Calibri" w:hAnsi="Calibri" w:cs="Calibri"/>
          <w:sz w:val="24"/>
          <w:szCs w:val="24"/>
        </w:rPr>
      </w:pPr>
      <w:r w:rsidRPr="007572B0">
        <w:rPr>
          <w:rFonts w:ascii="Calibri" w:eastAsia="Calibri" w:hAnsi="Calibri" w:cs="Calibri"/>
          <w:sz w:val="24"/>
          <w:szCs w:val="24"/>
        </w:rPr>
        <w:t xml:space="preserve">A. Certainly questions you should involve your bank’s legal counsel in. And banks need to be careful not to get into the management of trusts unless they have a trust department.  </w:t>
      </w:r>
    </w:p>
    <w:p w14:paraId="73B52BDE" w14:textId="77777777" w:rsidR="007572B0" w:rsidRPr="007572B0" w:rsidRDefault="007572B0" w:rsidP="007572B0">
      <w:pPr>
        <w:spacing w:after="0" w:line="240" w:lineRule="auto"/>
        <w:rPr>
          <w:rFonts w:ascii="Calibri" w:eastAsia="Calibri" w:hAnsi="Calibri" w:cs="Calibri"/>
          <w:sz w:val="24"/>
          <w:szCs w:val="24"/>
        </w:rPr>
      </w:pPr>
    </w:p>
    <w:p w14:paraId="0860C762" w14:textId="77777777" w:rsidR="007572B0" w:rsidRPr="007572B0" w:rsidRDefault="007572B0" w:rsidP="007572B0">
      <w:pPr>
        <w:spacing w:after="0" w:line="240" w:lineRule="auto"/>
        <w:rPr>
          <w:rFonts w:ascii="Calibri" w:eastAsia="Calibri" w:hAnsi="Calibri" w:cs="Calibri"/>
          <w:sz w:val="24"/>
          <w:szCs w:val="24"/>
        </w:rPr>
      </w:pPr>
      <w:r w:rsidRPr="007572B0">
        <w:rPr>
          <w:rFonts w:ascii="Calibri" w:eastAsia="Calibri" w:hAnsi="Calibri" w:cs="Calibri"/>
          <w:sz w:val="24"/>
          <w:szCs w:val="24"/>
        </w:rPr>
        <w:t xml:space="preserve">Trust can be created in each of the 50 states, and Trustees generally have the discretion to relocate a trust’s principal place of administration – called the situs of the trust – in accordance with their continuous duty to administer the trust in a place appropriate to its purpose, its administration, and the interests of the beneficiaries. That discretion in the administration of the trust would include a Trustee opening a deposit account with a Texas bank. </w:t>
      </w:r>
    </w:p>
    <w:p w14:paraId="03CDA517" w14:textId="77777777" w:rsidR="007572B0" w:rsidRPr="007572B0" w:rsidRDefault="007572B0" w:rsidP="007572B0">
      <w:pPr>
        <w:spacing w:after="0" w:line="240" w:lineRule="auto"/>
        <w:rPr>
          <w:rFonts w:ascii="Calibri" w:eastAsia="Calibri" w:hAnsi="Calibri" w:cs="Calibri"/>
          <w:sz w:val="24"/>
          <w:szCs w:val="24"/>
        </w:rPr>
      </w:pPr>
    </w:p>
    <w:p w14:paraId="03431676" w14:textId="77777777" w:rsidR="007572B0" w:rsidRPr="007572B0" w:rsidRDefault="007572B0" w:rsidP="007572B0">
      <w:pPr>
        <w:spacing w:after="0" w:line="240" w:lineRule="auto"/>
        <w:rPr>
          <w:rFonts w:ascii="Calibri" w:eastAsia="Calibri" w:hAnsi="Calibri" w:cs="Calibri"/>
          <w:sz w:val="24"/>
          <w:szCs w:val="24"/>
        </w:rPr>
      </w:pPr>
      <w:r w:rsidRPr="007572B0">
        <w:rPr>
          <w:rFonts w:ascii="Calibri" w:eastAsia="Calibri" w:hAnsi="Calibri" w:cs="Calibri"/>
          <w:sz w:val="24"/>
          <w:szCs w:val="24"/>
        </w:rPr>
        <w:t>Trustees move or get replaced, that happens.  An individual Trustee who moves from one state to another should exercise discretion and care as such a move might also result in the relocation of the trust’s principal place of administration.</w:t>
      </w:r>
    </w:p>
    <w:p w14:paraId="3FC15BB3" w14:textId="77777777" w:rsidR="007572B0" w:rsidRPr="007572B0" w:rsidRDefault="007572B0" w:rsidP="007572B0">
      <w:pPr>
        <w:spacing w:after="0" w:line="240" w:lineRule="auto"/>
        <w:rPr>
          <w:rFonts w:ascii="Calibri" w:eastAsia="Calibri" w:hAnsi="Calibri" w:cs="Calibri"/>
          <w:sz w:val="24"/>
          <w:szCs w:val="24"/>
        </w:rPr>
      </w:pPr>
    </w:p>
    <w:p w14:paraId="518E2C5B" w14:textId="3CE6E8EF" w:rsidR="00DF0045" w:rsidRDefault="007572B0" w:rsidP="007572B0">
      <w:pPr>
        <w:spacing w:after="0" w:line="240" w:lineRule="auto"/>
        <w:rPr>
          <w:rFonts w:ascii="Calibri" w:eastAsia="Calibri" w:hAnsi="Calibri" w:cs="Calibri"/>
          <w:sz w:val="24"/>
          <w:szCs w:val="24"/>
        </w:rPr>
      </w:pPr>
      <w:r w:rsidRPr="007572B0">
        <w:rPr>
          <w:rFonts w:ascii="Calibri" w:eastAsia="Calibri" w:hAnsi="Calibri" w:cs="Calibri"/>
          <w:sz w:val="24"/>
          <w:szCs w:val="24"/>
        </w:rPr>
        <w:lastRenderedPageBreak/>
        <w:t xml:space="preserve">There is no particular requirement that a settlor create a trust or a </w:t>
      </w:r>
      <w:r w:rsidR="00CE65FC">
        <w:rPr>
          <w:rFonts w:ascii="Calibri" w:eastAsia="Calibri" w:hAnsi="Calibri" w:cs="Calibri"/>
          <w:sz w:val="24"/>
          <w:szCs w:val="24"/>
        </w:rPr>
        <w:t>T</w:t>
      </w:r>
      <w:r w:rsidRPr="007572B0">
        <w:rPr>
          <w:rFonts w:ascii="Calibri" w:eastAsia="Calibri" w:hAnsi="Calibri" w:cs="Calibri"/>
          <w:sz w:val="24"/>
          <w:szCs w:val="24"/>
        </w:rPr>
        <w:t>rustee relocate a trust to Texas in order to open a deposit account with a bank domiciled in Texas.</w:t>
      </w:r>
      <w:r w:rsidR="00CE65FC">
        <w:rPr>
          <w:rFonts w:ascii="Calibri" w:eastAsia="Calibri" w:hAnsi="Calibri" w:cs="Calibri"/>
          <w:sz w:val="24"/>
          <w:szCs w:val="24"/>
        </w:rPr>
        <w:t xml:space="preserve">  Trusts, like a power of attorney, are valid in Texas if they were valid in the place they originated.  The challenge for banks in Texas is determining that the trust was valid.  Texas banks can ask the trustee to provide a Certificate of Trust or something similar if the state of administration of the trust provides for that.  Otherwise, a Texas bank could ask the Trustee to provide something from an attorney for the trust. </w:t>
      </w:r>
    </w:p>
    <w:p w14:paraId="67B7E931" w14:textId="77777777" w:rsidR="007572B0" w:rsidRPr="00DF0045" w:rsidRDefault="007572B0" w:rsidP="007572B0">
      <w:pPr>
        <w:spacing w:after="0" w:line="240" w:lineRule="auto"/>
        <w:rPr>
          <w:rFonts w:ascii="Calibri" w:eastAsia="Calibri" w:hAnsi="Calibri" w:cs="Calibri"/>
          <w:color w:val="002060"/>
          <w:sz w:val="24"/>
          <w:szCs w:val="24"/>
        </w:rPr>
      </w:pPr>
    </w:p>
    <w:p w14:paraId="227AF2CF" w14:textId="7377D2AC" w:rsidR="001D488F" w:rsidRPr="001E0B8E" w:rsidRDefault="001D488F">
      <w:pPr>
        <w:rPr>
          <w:rFonts w:ascii="Verdana" w:hAnsi="Verdana"/>
          <w:b/>
          <w:bCs/>
          <w:color w:val="29588C"/>
          <w:sz w:val="28"/>
          <w:szCs w:val="28"/>
        </w:rPr>
      </w:pPr>
      <w:r w:rsidRPr="001E0B8E">
        <w:rPr>
          <w:rFonts w:ascii="Verdana" w:hAnsi="Verdana"/>
          <w:b/>
          <w:bCs/>
          <w:color w:val="29588C"/>
          <w:sz w:val="28"/>
          <w:szCs w:val="28"/>
        </w:rPr>
        <w:t xml:space="preserve">Items of </w:t>
      </w:r>
      <w:r w:rsidR="000015D0" w:rsidRPr="001E0B8E">
        <w:rPr>
          <w:rFonts w:ascii="Verdana" w:hAnsi="Verdana"/>
          <w:b/>
          <w:bCs/>
          <w:color w:val="29588C"/>
          <w:sz w:val="28"/>
          <w:szCs w:val="28"/>
        </w:rPr>
        <w:t>Interest</w:t>
      </w:r>
    </w:p>
    <w:p w14:paraId="56DA15EE" w14:textId="14629729" w:rsidR="000015D0" w:rsidRPr="001E0B8E" w:rsidRDefault="000015D0">
      <w:pPr>
        <w:rPr>
          <w:rFonts w:ascii="Verdana" w:hAnsi="Verdana"/>
          <w:b/>
          <w:bCs/>
        </w:rPr>
      </w:pPr>
      <w:bookmarkStart w:id="24" w:name="_Hlk91505373"/>
      <w:r w:rsidRPr="001E0B8E">
        <w:rPr>
          <w:rFonts w:ascii="Verdana" w:hAnsi="Verdana"/>
          <w:b/>
          <w:bCs/>
        </w:rPr>
        <w:t>Bank Management</w:t>
      </w:r>
    </w:p>
    <w:tbl>
      <w:tblPr>
        <w:tblStyle w:val="TableGrid"/>
        <w:tblW w:w="0" w:type="auto"/>
        <w:tblLook w:val="04A0" w:firstRow="1" w:lastRow="0" w:firstColumn="1" w:lastColumn="0" w:noHBand="0" w:noVBand="1"/>
      </w:tblPr>
      <w:tblGrid>
        <w:gridCol w:w="985"/>
        <w:gridCol w:w="8365"/>
      </w:tblGrid>
      <w:tr w:rsidR="00143E97" w:rsidRPr="001E0B8E" w14:paraId="370129FE" w14:textId="77777777" w:rsidTr="00211348">
        <w:tc>
          <w:tcPr>
            <w:tcW w:w="985" w:type="dxa"/>
            <w:shd w:val="clear" w:color="auto" w:fill="00B050"/>
          </w:tcPr>
          <w:p w14:paraId="64403FA5" w14:textId="77777777" w:rsidR="00143E97" w:rsidRPr="001E0B8E" w:rsidRDefault="00143E97" w:rsidP="007A5DE9">
            <w:pPr>
              <w:tabs>
                <w:tab w:val="left" w:pos="580"/>
              </w:tabs>
            </w:pPr>
          </w:p>
        </w:tc>
        <w:tc>
          <w:tcPr>
            <w:tcW w:w="8365" w:type="dxa"/>
          </w:tcPr>
          <w:p w14:paraId="5E193C17" w14:textId="394C36EE" w:rsidR="005C786C" w:rsidRDefault="005C786C" w:rsidP="005C786C">
            <w:pPr>
              <w:pStyle w:val="NormalWeb"/>
              <w:shd w:val="clear" w:color="auto" w:fill="FFFFFF"/>
              <w:tabs>
                <w:tab w:val="left" w:pos="1696"/>
              </w:tabs>
              <w:rPr>
                <w:rFonts w:asciiTheme="minorHAnsi" w:hAnsiTheme="minorHAnsi" w:cstheme="minorHAnsi"/>
                <w:color w:val="000000" w:themeColor="text1"/>
                <w:sz w:val="22"/>
                <w:szCs w:val="22"/>
              </w:rPr>
            </w:pPr>
            <w:r w:rsidRPr="005C786C">
              <w:rPr>
                <w:rFonts w:asciiTheme="minorHAnsi" w:hAnsiTheme="minorHAnsi" w:cstheme="minorHAnsi"/>
                <w:b/>
                <w:bCs/>
                <w:color w:val="000000" w:themeColor="text1"/>
                <w:sz w:val="22"/>
                <w:szCs w:val="22"/>
              </w:rPr>
              <w:t>FRB</w:t>
            </w:r>
            <w:r>
              <w:rPr>
                <w:rFonts w:asciiTheme="minorHAnsi" w:hAnsiTheme="minorHAnsi" w:cstheme="minorHAnsi"/>
                <w:color w:val="000000" w:themeColor="text1"/>
                <w:sz w:val="22"/>
                <w:szCs w:val="22"/>
              </w:rPr>
              <w:t xml:space="preserve"> </w:t>
            </w:r>
            <w:hyperlink r:id="rId9" w:history="1">
              <w:r w:rsidRPr="005C786C">
                <w:rPr>
                  <w:rStyle w:val="Hyperlink"/>
                  <w:rFonts w:asciiTheme="minorHAnsi" w:hAnsiTheme="minorHAnsi" w:cstheme="minorHAnsi"/>
                  <w:sz w:val="22"/>
                  <w:szCs w:val="22"/>
                </w:rPr>
                <w:t>Consumer Compliance Outlook Latest Issue is Now Available</w:t>
              </w:r>
            </w:hyperlink>
            <w:r>
              <w:rPr>
                <w:rFonts w:asciiTheme="minorHAnsi" w:hAnsiTheme="minorHAnsi" w:cstheme="minorHAnsi"/>
                <w:color w:val="000000" w:themeColor="text1"/>
                <w:sz w:val="22"/>
                <w:szCs w:val="22"/>
              </w:rPr>
              <w:t xml:space="preserve"> (01/31/2023) - </w:t>
            </w:r>
            <w:r w:rsidRPr="005C786C">
              <w:rPr>
                <w:rFonts w:asciiTheme="minorHAnsi" w:hAnsiTheme="minorHAnsi" w:cstheme="minorHAnsi"/>
                <w:color w:val="000000" w:themeColor="text1"/>
                <w:sz w:val="22"/>
                <w:szCs w:val="22"/>
              </w:rPr>
              <w:t>The latest issue of Consumer Compliance Outlook is now available for download. This issue includes the following articles and features:</w:t>
            </w:r>
          </w:p>
          <w:p w14:paraId="2CEDDC40" w14:textId="77777777" w:rsidR="005C786C" w:rsidRPr="005C786C" w:rsidRDefault="005C786C" w:rsidP="005C786C">
            <w:pPr>
              <w:pStyle w:val="NormalWeb"/>
              <w:shd w:val="clear" w:color="auto" w:fill="FFFFFF"/>
              <w:tabs>
                <w:tab w:val="left" w:pos="1696"/>
              </w:tabs>
              <w:rPr>
                <w:rFonts w:asciiTheme="minorHAnsi" w:hAnsiTheme="minorHAnsi" w:cstheme="minorHAnsi"/>
                <w:color w:val="000000" w:themeColor="text1"/>
                <w:sz w:val="22"/>
                <w:szCs w:val="22"/>
              </w:rPr>
            </w:pPr>
          </w:p>
          <w:p w14:paraId="092339B1" w14:textId="1CBED84E" w:rsidR="005C786C" w:rsidRPr="005C786C" w:rsidRDefault="005C786C" w:rsidP="005C786C">
            <w:pPr>
              <w:pStyle w:val="NormalWeb"/>
              <w:numPr>
                <w:ilvl w:val="0"/>
                <w:numId w:val="7"/>
              </w:numPr>
              <w:shd w:val="clear" w:color="auto" w:fill="FFFFFF"/>
              <w:tabs>
                <w:tab w:val="left" w:pos="1696"/>
              </w:tabs>
              <w:rPr>
                <w:rFonts w:asciiTheme="minorHAnsi" w:hAnsiTheme="minorHAnsi" w:cstheme="minorHAnsi"/>
                <w:color w:val="000000" w:themeColor="text1"/>
                <w:sz w:val="22"/>
                <w:szCs w:val="22"/>
              </w:rPr>
            </w:pPr>
            <w:r w:rsidRPr="005C786C">
              <w:rPr>
                <w:rFonts w:asciiTheme="minorHAnsi" w:hAnsiTheme="minorHAnsi" w:cstheme="minorHAnsi"/>
                <w:color w:val="000000" w:themeColor="text1"/>
                <w:sz w:val="22"/>
                <w:szCs w:val="22"/>
              </w:rPr>
              <w:t>Overview of Special Purpose Credit Programs Under the Equal Credit Opportunity Act</w:t>
            </w:r>
          </w:p>
          <w:p w14:paraId="2768EE07" w14:textId="322BDF2C" w:rsidR="005C786C" w:rsidRPr="005C786C" w:rsidRDefault="005C786C" w:rsidP="005C786C">
            <w:pPr>
              <w:pStyle w:val="NormalWeb"/>
              <w:numPr>
                <w:ilvl w:val="0"/>
                <w:numId w:val="7"/>
              </w:numPr>
              <w:shd w:val="clear" w:color="auto" w:fill="FFFFFF"/>
              <w:tabs>
                <w:tab w:val="left" w:pos="1696"/>
              </w:tabs>
              <w:rPr>
                <w:rFonts w:asciiTheme="minorHAnsi" w:hAnsiTheme="minorHAnsi" w:cstheme="minorHAnsi"/>
                <w:color w:val="000000" w:themeColor="text1"/>
                <w:sz w:val="22"/>
                <w:szCs w:val="22"/>
              </w:rPr>
            </w:pPr>
            <w:r w:rsidRPr="005C786C">
              <w:rPr>
                <w:rFonts w:asciiTheme="minorHAnsi" w:hAnsiTheme="minorHAnsi" w:cstheme="minorHAnsi"/>
                <w:color w:val="000000" w:themeColor="text1"/>
                <w:sz w:val="22"/>
                <w:szCs w:val="22"/>
              </w:rPr>
              <w:t>Federal Reserve Consumer Affairs Letter for 2022 and 2021</w:t>
            </w:r>
          </w:p>
          <w:p w14:paraId="7F805B41" w14:textId="7DE3AB23" w:rsidR="005C786C" w:rsidRPr="005C786C" w:rsidRDefault="005C786C" w:rsidP="005C786C">
            <w:pPr>
              <w:pStyle w:val="NormalWeb"/>
              <w:numPr>
                <w:ilvl w:val="0"/>
                <w:numId w:val="7"/>
              </w:numPr>
              <w:shd w:val="clear" w:color="auto" w:fill="FFFFFF"/>
              <w:tabs>
                <w:tab w:val="left" w:pos="1696"/>
              </w:tabs>
              <w:rPr>
                <w:rFonts w:asciiTheme="minorHAnsi" w:hAnsiTheme="minorHAnsi" w:cstheme="minorHAnsi"/>
                <w:color w:val="000000" w:themeColor="text1"/>
                <w:sz w:val="22"/>
                <w:szCs w:val="22"/>
              </w:rPr>
            </w:pPr>
            <w:r w:rsidRPr="005C786C">
              <w:rPr>
                <w:rFonts w:asciiTheme="minorHAnsi" w:hAnsiTheme="minorHAnsi" w:cstheme="minorHAnsi"/>
                <w:color w:val="000000" w:themeColor="text1"/>
                <w:sz w:val="22"/>
                <w:szCs w:val="22"/>
              </w:rPr>
              <w:t>News from Washington: Regulatory Updates</w:t>
            </w:r>
          </w:p>
          <w:p w14:paraId="7A39CF36" w14:textId="2A189A1F" w:rsidR="005C786C" w:rsidRPr="005C786C" w:rsidRDefault="005C786C" w:rsidP="005C786C">
            <w:pPr>
              <w:pStyle w:val="NormalWeb"/>
              <w:numPr>
                <w:ilvl w:val="0"/>
                <w:numId w:val="7"/>
              </w:numPr>
              <w:shd w:val="clear" w:color="auto" w:fill="FFFFFF"/>
              <w:tabs>
                <w:tab w:val="left" w:pos="1696"/>
              </w:tabs>
              <w:rPr>
                <w:rFonts w:asciiTheme="minorHAnsi" w:hAnsiTheme="minorHAnsi" w:cstheme="minorHAnsi"/>
                <w:color w:val="000000" w:themeColor="text1"/>
                <w:sz w:val="22"/>
                <w:szCs w:val="22"/>
              </w:rPr>
            </w:pPr>
            <w:r w:rsidRPr="005C786C">
              <w:rPr>
                <w:rFonts w:asciiTheme="minorHAnsi" w:hAnsiTheme="minorHAnsi" w:cstheme="minorHAnsi"/>
                <w:color w:val="000000" w:themeColor="text1"/>
                <w:sz w:val="22"/>
                <w:szCs w:val="22"/>
              </w:rPr>
              <w:t>On the Docket: Recent Federal Court Opinions</w:t>
            </w:r>
          </w:p>
          <w:p w14:paraId="16CF3B89" w14:textId="21329EB4" w:rsidR="005C786C" w:rsidRPr="005C786C" w:rsidRDefault="005C786C" w:rsidP="005C786C">
            <w:pPr>
              <w:pStyle w:val="NormalWeb"/>
              <w:numPr>
                <w:ilvl w:val="0"/>
                <w:numId w:val="7"/>
              </w:numPr>
              <w:shd w:val="clear" w:color="auto" w:fill="FFFFFF"/>
              <w:tabs>
                <w:tab w:val="left" w:pos="1696"/>
              </w:tabs>
              <w:rPr>
                <w:rFonts w:asciiTheme="minorHAnsi" w:hAnsiTheme="minorHAnsi" w:cstheme="minorHAnsi"/>
                <w:color w:val="000000" w:themeColor="text1"/>
                <w:sz w:val="22"/>
                <w:szCs w:val="22"/>
              </w:rPr>
            </w:pPr>
            <w:r w:rsidRPr="005C786C">
              <w:rPr>
                <w:rFonts w:asciiTheme="minorHAnsi" w:hAnsiTheme="minorHAnsi" w:cstheme="minorHAnsi"/>
                <w:color w:val="000000" w:themeColor="text1"/>
                <w:sz w:val="22"/>
                <w:szCs w:val="22"/>
              </w:rPr>
              <w:t>Regulatory Calendar</w:t>
            </w:r>
          </w:p>
          <w:p w14:paraId="272BC66C" w14:textId="3140D542" w:rsidR="005C786C" w:rsidRDefault="00000000" w:rsidP="005C786C">
            <w:pPr>
              <w:pStyle w:val="NormalWeb"/>
              <w:numPr>
                <w:ilvl w:val="0"/>
                <w:numId w:val="7"/>
              </w:numPr>
              <w:shd w:val="clear" w:color="auto" w:fill="FFFFFF"/>
              <w:tabs>
                <w:tab w:val="left" w:pos="1696"/>
              </w:tabs>
              <w:rPr>
                <w:rFonts w:asciiTheme="minorHAnsi" w:hAnsiTheme="minorHAnsi" w:cstheme="minorHAnsi"/>
                <w:color w:val="000000" w:themeColor="text1"/>
                <w:sz w:val="22"/>
                <w:szCs w:val="22"/>
              </w:rPr>
            </w:pPr>
            <w:hyperlink r:id="rId10" w:history="1">
              <w:r w:rsidR="005C786C" w:rsidRPr="005C786C">
                <w:rPr>
                  <w:rStyle w:val="Hyperlink"/>
                  <w:rFonts w:asciiTheme="minorHAnsi" w:hAnsiTheme="minorHAnsi" w:cstheme="minorHAnsi"/>
                  <w:sz w:val="22"/>
                  <w:szCs w:val="22"/>
                </w:rPr>
                <w:t>Entire Issue (pdf download)</w:t>
              </w:r>
            </w:hyperlink>
          </w:p>
          <w:p w14:paraId="0FC72F3C" w14:textId="77777777" w:rsidR="005C786C" w:rsidRPr="005C786C" w:rsidRDefault="005C786C" w:rsidP="005C786C">
            <w:pPr>
              <w:pStyle w:val="NormalWeb"/>
              <w:shd w:val="clear" w:color="auto" w:fill="FFFFFF"/>
              <w:tabs>
                <w:tab w:val="left" w:pos="1696"/>
              </w:tabs>
              <w:rPr>
                <w:rFonts w:asciiTheme="minorHAnsi" w:hAnsiTheme="minorHAnsi" w:cstheme="minorHAnsi"/>
                <w:color w:val="000000" w:themeColor="text1"/>
                <w:sz w:val="22"/>
                <w:szCs w:val="22"/>
              </w:rPr>
            </w:pPr>
          </w:p>
          <w:p w14:paraId="5567D3EE" w14:textId="7961D4B7" w:rsidR="005C786C" w:rsidRPr="005C786C" w:rsidRDefault="005C786C" w:rsidP="005C786C">
            <w:pPr>
              <w:pStyle w:val="NormalWeb"/>
              <w:shd w:val="clear" w:color="auto" w:fill="FFFFFF"/>
              <w:tabs>
                <w:tab w:val="left" w:pos="1696"/>
              </w:tabs>
              <w:rPr>
                <w:rFonts w:asciiTheme="minorHAnsi" w:hAnsiTheme="minorHAnsi" w:cstheme="minorHAnsi"/>
                <w:color w:val="000000" w:themeColor="text1"/>
                <w:sz w:val="22"/>
                <w:szCs w:val="22"/>
              </w:rPr>
            </w:pPr>
            <w:r w:rsidRPr="005C786C">
              <w:rPr>
                <w:rFonts w:asciiTheme="minorHAnsi" w:hAnsiTheme="minorHAnsi" w:cstheme="minorHAnsi"/>
                <w:color w:val="000000" w:themeColor="text1"/>
                <w:sz w:val="22"/>
                <w:szCs w:val="22"/>
              </w:rPr>
              <w:t xml:space="preserve">We welcome your suggestions for topics for articles or webinars, or any other feedback you wish to provide, at </w:t>
            </w:r>
            <w:hyperlink r:id="rId11" w:history="1">
              <w:r w:rsidRPr="00740503">
                <w:rPr>
                  <w:rStyle w:val="Hyperlink"/>
                  <w:rFonts w:asciiTheme="minorHAnsi" w:hAnsiTheme="minorHAnsi" w:cstheme="minorHAnsi"/>
                  <w:sz w:val="22"/>
                  <w:szCs w:val="22"/>
                </w:rPr>
                <w:t>outlook@phil.frb.org</w:t>
              </w:r>
            </w:hyperlink>
            <w:r>
              <w:rPr>
                <w:rFonts w:asciiTheme="minorHAnsi" w:hAnsiTheme="minorHAnsi" w:cstheme="minorHAnsi"/>
                <w:color w:val="000000" w:themeColor="text1"/>
                <w:sz w:val="22"/>
                <w:szCs w:val="22"/>
              </w:rPr>
              <w:t xml:space="preserve">. </w:t>
            </w:r>
          </w:p>
          <w:p w14:paraId="7951A024" w14:textId="77777777" w:rsidR="005C786C" w:rsidRDefault="005C786C" w:rsidP="005C786C">
            <w:pPr>
              <w:pStyle w:val="NormalWeb"/>
              <w:shd w:val="clear" w:color="auto" w:fill="FFFFFF"/>
              <w:tabs>
                <w:tab w:val="left" w:pos="1696"/>
              </w:tabs>
              <w:rPr>
                <w:rFonts w:asciiTheme="minorHAnsi" w:hAnsiTheme="minorHAnsi" w:cstheme="minorHAnsi"/>
                <w:color w:val="000000" w:themeColor="text1"/>
                <w:sz w:val="22"/>
                <w:szCs w:val="22"/>
              </w:rPr>
            </w:pPr>
          </w:p>
          <w:p w14:paraId="14B0D01C" w14:textId="77777777" w:rsidR="00143E97" w:rsidRDefault="005C786C" w:rsidP="005C786C">
            <w:pPr>
              <w:pStyle w:val="NormalWeb"/>
              <w:shd w:val="clear" w:color="auto" w:fill="FFFFFF"/>
              <w:tabs>
                <w:tab w:val="left" w:pos="1696"/>
              </w:tabs>
              <w:rPr>
                <w:rFonts w:asciiTheme="minorHAnsi" w:hAnsiTheme="minorHAnsi" w:cstheme="minorHAnsi"/>
                <w:color w:val="000000" w:themeColor="text1"/>
                <w:sz w:val="22"/>
                <w:szCs w:val="22"/>
              </w:rPr>
            </w:pPr>
            <w:r w:rsidRPr="005C786C">
              <w:rPr>
                <w:rFonts w:asciiTheme="minorHAnsi" w:hAnsiTheme="minorHAnsi" w:cstheme="minorHAnsi"/>
                <w:color w:val="000000" w:themeColor="text1"/>
                <w:sz w:val="22"/>
                <w:szCs w:val="22"/>
              </w:rPr>
              <w:t>Finally, the bottom of this email provides a link to "manage your preferences," which allows you to update your subscription information, including your email and mailing addresses.</w:t>
            </w:r>
          </w:p>
          <w:p w14:paraId="6ED4A2FE" w14:textId="77777777" w:rsidR="005C786C" w:rsidRDefault="005C786C" w:rsidP="005C786C">
            <w:pPr>
              <w:pStyle w:val="NormalWeb"/>
              <w:shd w:val="clear" w:color="auto" w:fill="FFFFFF"/>
              <w:tabs>
                <w:tab w:val="left" w:pos="1696"/>
              </w:tabs>
              <w:rPr>
                <w:rFonts w:asciiTheme="minorHAnsi" w:hAnsiTheme="minorHAnsi" w:cstheme="minorHAnsi"/>
                <w:color w:val="000000" w:themeColor="text1"/>
                <w:sz w:val="22"/>
                <w:szCs w:val="22"/>
              </w:rPr>
            </w:pPr>
          </w:p>
          <w:p w14:paraId="6E7DEFA5" w14:textId="78D36644" w:rsidR="005C786C" w:rsidRPr="00905463" w:rsidRDefault="005C786C" w:rsidP="005C786C">
            <w:pPr>
              <w:rPr>
                <w:rFonts w:cstheme="minorHAnsi"/>
                <w:b/>
                <w:bCs/>
                <w:i/>
                <w:iCs/>
                <w:color w:val="002060"/>
              </w:rPr>
            </w:pPr>
            <w:r w:rsidRPr="00905463">
              <w:rPr>
                <w:rFonts w:cstheme="minorHAnsi"/>
                <w:b/>
                <w:bCs/>
                <w:i/>
                <w:iCs/>
                <w:color w:val="002060"/>
              </w:rPr>
              <w:t xml:space="preserve">Comment: </w:t>
            </w:r>
            <w:r w:rsidR="005D301F">
              <w:rPr>
                <w:rFonts w:cstheme="minorHAnsi"/>
                <w:b/>
                <w:bCs/>
                <w:i/>
                <w:iCs/>
                <w:color w:val="002060"/>
              </w:rPr>
              <w:t>Most of this issue is dedicated to Special Purpose Credit Programs under ECOA.  A carefully crafted SPCP, under an ECOA carve out, allow</w:t>
            </w:r>
            <w:r w:rsidR="004638BE">
              <w:rPr>
                <w:rFonts w:cstheme="minorHAnsi"/>
                <w:b/>
                <w:bCs/>
                <w:i/>
                <w:iCs/>
                <w:color w:val="002060"/>
              </w:rPr>
              <w:t>s</w:t>
            </w:r>
            <w:r w:rsidR="005D301F">
              <w:rPr>
                <w:rFonts w:cstheme="minorHAnsi"/>
                <w:b/>
                <w:bCs/>
                <w:i/>
                <w:iCs/>
                <w:color w:val="002060"/>
              </w:rPr>
              <w:t xml:space="preserve"> a creditor to</w:t>
            </w:r>
            <w:r w:rsidRPr="00905463">
              <w:rPr>
                <w:rFonts w:cstheme="minorHAnsi"/>
                <w:b/>
                <w:bCs/>
                <w:i/>
                <w:iCs/>
                <w:color w:val="002060"/>
              </w:rPr>
              <w:t xml:space="preserve"> </w:t>
            </w:r>
            <w:r w:rsidR="005D301F">
              <w:rPr>
                <w:rFonts w:cstheme="minorHAnsi"/>
                <w:b/>
                <w:bCs/>
                <w:i/>
                <w:iCs/>
                <w:color w:val="002060"/>
              </w:rPr>
              <w:t>‘</w:t>
            </w:r>
            <w:r w:rsidR="005D301F" w:rsidRPr="005D301F">
              <w:rPr>
                <w:rFonts w:cstheme="minorHAnsi"/>
                <w:b/>
                <w:bCs/>
                <w:i/>
                <w:iCs/>
                <w:color w:val="002060"/>
              </w:rPr>
              <w:t>consider</w:t>
            </w:r>
            <w:r w:rsidR="005D301F">
              <w:rPr>
                <w:rFonts w:cstheme="minorHAnsi"/>
                <w:b/>
                <w:bCs/>
                <w:i/>
                <w:iCs/>
                <w:color w:val="002060"/>
              </w:rPr>
              <w:t>’</w:t>
            </w:r>
            <w:r w:rsidR="005D301F" w:rsidRPr="005D301F">
              <w:rPr>
                <w:rFonts w:cstheme="minorHAnsi"/>
                <w:b/>
                <w:bCs/>
                <w:i/>
                <w:iCs/>
                <w:color w:val="002060"/>
              </w:rPr>
              <w:t xml:space="preserve"> prohibited-basis information in credit transactions to meet special social needs or to help an economically disadvantaged class of persons.</w:t>
            </w:r>
          </w:p>
          <w:p w14:paraId="0FD69AE6" w14:textId="5E2C9172" w:rsidR="005C786C" w:rsidRPr="00143E97" w:rsidRDefault="005C786C" w:rsidP="005C786C">
            <w:pPr>
              <w:pStyle w:val="NormalWeb"/>
              <w:shd w:val="clear" w:color="auto" w:fill="FFFFFF"/>
              <w:tabs>
                <w:tab w:val="left" w:pos="1696"/>
              </w:tabs>
              <w:rPr>
                <w:rFonts w:asciiTheme="minorHAnsi" w:hAnsiTheme="minorHAnsi" w:cstheme="minorHAnsi"/>
                <w:color w:val="000000" w:themeColor="text1"/>
                <w:sz w:val="22"/>
                <w:szCs w:val="22"/>
              </w:rPr>
            </w:pPr>
          </w:p>
        </w:tc>
      </w:tr>
      <w:bookmarkEnd w:id="24"/>
    </w:tbl>
    <w:p w14:paraId="6A18DF6F" w14:textId="79C1E0E1" w:rsidR="001D488F" w:rsidRPr="001E0B8E" w:rsidRDefault="001D488F"/>
    <w:p w14:paraId="02F04456" w14:textId="72C15372" w:rsidR="00AC1F42" w:rsidRPr="001E0B8E" w:rsidRDefault="00AC1F42" w:rsidP="00AC1F42">
      <w:pPr>
        <w:rPr>
          <w:rFonts w:ascii="Verdana" w:hAnsi="Verdana"/>
          <w:b/>
          <w:bCs/>
        </w:rPr>
      </w:pPr>
      <w:r w:rsidRPr="001E0B8E">
        <w:rPr>
          <w:rFonts w:ascii="Verdana" w:hAnsi="Verdana"/>
          <w:b/>
          <w:bCs/>
        </w:rPr>
        <w:t>BSA / AML</w:t>
      </w:r>
    </w:p>
    <w:tbl>
      <w:tblPr>
        <w:tblStyle w:val="TableGrid"/>
        <w:tblW w:w="0" w:type="auto"/>
        <w:tblLook w:val="04A0" w:firstRow="1" w:lastRow="0" w:firstColumn="1" w:lastColumn="0" w:noHBand="0" w:noVBand="1"/>
      </w:tblPr>
      <w:tblGrid>
        <w:gridCol w:w="985"/>
        <w:gridCol w:w="8365"/>
      </w:tblGrid>
      <w:tr w:rsidR="00A33AAE" w:rsidRPr="001E0B8E" w14:paraId="1427209D" w14:textId="77777777" w:rsidTr="007A35CD">
        <w:tc>
          <w:tcPr>
            <w:tcW w:w="985" w:type="dxa"/>
            <w:shd w:val="clear" w:color="auto" w:fill="FFFF00"/>
          </w:tcPr>
          <w:p w14:paraId="5C419EB1" w14:textId="77777777" w:rsidR="00A33AAE" w:rsidRPr="001E0B8E" w:rsidRDefault="00A33AAE" w:rsidP="00215448">
            <w:pPr>
              <w:tabs>
                <w:tab w:val="left" w:pos="580"/>
              </w:tabs>
            </w:pPr>
          </w:p>
        </w:tc>
        <w:tc>
          <w:tcPr>
            <w:tcW w:w="8365" w:type="dxa"/>
          </w:tcPr>
          <w:p w14:paraId="7D34DE91" w14:textId="7979CD17" w:rsidR="00E36FDB" w:rsidRDefault="00E36FDB" w:rsidP="00E36FDB">
            <w:pPr>
              <w:shd w:val="clear" w:color="auto" w:fill="FFFFFF"/>
              <w:textAlignment w:val="baseline"/>
            </w:pPr>
            <w:r w:rsidRPr="00E36FDB">
              <w:rPr>
                <w:b/>
                <w:bCs/>
              </w:rPr>
              <w:t>FinCEN</w:t>
            </w:r>
            <w:r>
              <w:t xml:space="preserve"> </w:t>
            </w:r>
            <w:hyperlink r:id="rId12" w:history="1">
              <w:r w:rsidRPr="00E36FDB">
                <w:rPr>
                  <w:rStyle w:val="Hyperlink"/>
                </w:rPr>
                <w:t>Prepared Remarks of FinCEN Acting Deputy Director During the ID Policy Forum</w:t>
              </w:r>
            </w:hyperlink>
            <w:r>
              <w:t xml:space="preserve"> (02/01/2023) - Good morning.  My name is Jimmy Kirby, and I’m the Acting Deputy Director of the Financial Crimes Enforcement Network (FinCEN).</w:t>
            </w:r>
          </w:p>
          <w:p w14:paraId="704B5782" w14:textId="77777777" w:rsidR="00E36FDB" w:rsidRDefault="00E36FDB" w:rsidP="00E36FDB">
            <w:pPr>
              <w:shd w:val="clear" w:color="auto" w:fill="FFFFFF"/>
              <w:textAlignment w:val="baseline"/>
            </w:pPr>
          </w:p>
          <w:p w14:paraId="156919BB" w14:textId="77777777" w:rsidR="00E36FDB" w:rsidRDefault="00E36FDB" w:rsidP="00E36FDB">
            <w:pPr>
              <w:shd w:val="clear" w:color="auto" w:fill="FFFFFF"/>
              <w:textAlignment w:val="baseline"/>
            </w:pPr>
            <w:r>
              <w:t xml:space="preserve">It’s a real pleasure to address all of you—private sector and fellow public sector attendees and speakers—to discuss this important issue of proving who you are in a digital world. </w:t>
            </w:r>
          </w:p>
          <w:p w14:paraId="7C0CC604" w14:textId="77777777" w:rsidR="00E36FDB" w:rsidRDefault="00E36FDB" w:rsidP="00E36FDB">
            <w:pPr>
              <w:shd w:val="clear" w:color="auto" w:fill="FFFFFF"/>
              <w:textAlignment w:val="baseline"/>
            </w:pPr>
          </w:p>
          <w:p w14:paraId="1115724E" w14:textId="77777777" w:rsidR="00E36FDB" w:rsidRDefault="00E36FDB" w:rsidP="00E36FDB">
            <w:pPr>
              <w:shd w:val="clear" w:color="auto" w:fill="FFFFFF"/>
              <w:textAlignment w:val="baseline"/>
            </w:pPr>
            <w:r>
              <w:lastRenderedPageBreak/>
              <w:t>I would like to explain how this Identity, Authentication, and the Road Ahead event and its focus on digital identity, a building block for reliable financial services, fits into the broader FinCEN picture.</w:t>
            </w:r>
          </w:p>
          <w:p w14:paraId="7ECECEB5" w14:textId="77777777" w:rsidR="00E36FDB" w:rsidRDefault="00E36FDB" w:rsidP="00E36FDB">
            <w:pPr>
              <w:shd w:val="clear" w:color="auto" w:fill="FFFFFF"/>
              <w:textAlignment w:val="baseline"/>
            </w:pPr>
          </w:p>
          <w:p w14:paraId="5EDCF4AE" w14:textId="77777777" w:rsidR="00E36FDB" w:rsidRDefault="00E36FDB" w:rsidP="00E36FDB">
            <w:pPr>
              <w:shd w:val="clear" w:color="auto" w:fill="FFFFFF"/>
              <w:textAlignment w:val="baseline"/>
            </w:pPr>
            <w:r>
              <w:t>We’re focused on a range of important topics at FinCEN, including:</w:t>
            </w:r>
          </w:p>
          <w:p w14:paraId="5DA3AC06" w14:textId="77777777" w:rsidR="00E36FDB" w:rsidRDefault="00E36FDB" w:rsidP="00E36FDB">
            <w:pPr>
              <w:shd w:val="clear" w:color="auto" w:fill="FFFFFF"/>
              <w:textAlignment w:val="baseline"/>
            </w:pPr>
          </w:p>
          <w:p w14:paraId="6B0B42D6" w14:textId="77777777" w:rsidR="00E36FDB" w:rsidRDefault="00E36FDB" w:rsidP="00E36FDB">
            <w:pPr>
              <w:pStyle w:val="ListParagraph"/>
              <w:numPr>
                <w:ilvl w:val="0"/>
                <w:numId w:val="8"/>
              </w:numPr>
              <w:shd w:val="clear" w:color="auto" w:fill="FFFFFF"/>
              <w:textAlignment w:val="baseline"/>
            </w:pPr>
            <w:r>
              <w:t xml:space="preserve">Emerging </w:t>
            </w:r>
            <w:proofErr w:type="gramStart"/>
            <w:r>
              <w:t>threats;</w:t>
            </w:r>
            <w:proofErr w:type="gramEnd"/>
          </w:p>
          <w:p w14:paraId="2A0FF1B9" w14:textId="77777777" w:rsidR="00E36FDB" w:rsidRDefault="00E36FDB" w:rsidP="00E36FDB">
            <w:pPr>
              <w:pStyle w:val="ListParagraph"/>
              <w:numPr>
                <w:ilvl w:val="0"/>
                <w:numId w:val="8"/>
              </w:numPr>
              <w:shd w:val="clear" w:color="auto" w:fill="FFFFFF"/>
              <w:textAlignment w:val="baseline"/>
            </w:pPr>
            <w:r>
              <w:t>Responsible innovation; and</w:t>
            </w:r>
          </w:p>
          <w:p w14:paraId="40B901ED" w14:textId="77777777" w:rsidR="00E36FDB" w:rsidRDefault="00E36FDB" w:rsidP="00E36FDB">
            <w:pPr>
              <w:pStyle w:val="ListParagraph"/>
              <w:numPr>
                <w:ilvl w:val="0"/>
                <w:numId w:val="8"/>
              </w:numPr>
              <w:shd w:val="clear" w:color="auto" w:fill="FFFFFF"/>
              <w:textAlignment w:val="baseline"/>
            </w:pPr>
            <w:r>
              <w:t>Expanding partnerships and feedback loops.</w:t>
            </w:r>
          </w:p>
          <w:p w14:paraId="4E394A40" w14:textId="77777777" w:rsidR="00E36FDB" w:rsidRDefault="00E36FDB" w:rsidP="00E36FDB">
            <w:pPr>
              <w:shd w:val="clear" w:color="auto" w:fill="FFFFFF"/>
              <w:textAlignment w:val="baseline"/>
            </w:pPr>
          </w:p>
          <w:p w14:paraId="06E24A54" w14:textId="77777777" w:rsidR="00E36FDB" w:rsidRDefault="00E36FDB" w:rsidP="00E36FDB">
            <w:pPr>
              <w:shd w:val="clear" w:color="auto" w:fill="FFFFFF"/>
              <w:textAlignment w:val="baseline"/>
            </w:pPr>
            <w:r>
              <w:t>The Importance of Digital Identity to FinCEN’s Mission</w:t>
            </w:r>
          </w:p>
          <w:p w14:paraId="324A1A29" w14:textId="77777777" w:rsidR="00E36FDB" w:rsidRDefault="00E36FDB" w:rsidP="00E36FDB">
            <w:pPr>
              <w:shd w:val="clear" w:color="auto" w:fill="FFFFFF"/>
              <w:textAlignment w:val="baseline"/>
            </w:pPr>
          </w:p>
          <w:p w14:paraId="5FDA5FB9" w14:textId="77777777" w:rsidR="00E36FDB" w:rsidRDefault="00E36FDB" w:rsidP="00E36FDB">
            <w:pPr>
              <w:shd w:val="clear" w:color="auto" w:fill="FFFFFF"/>
              <w:textAlignment w:val="baseline"/>
            </w:pPr>
            <w:r>
              <w:t>I’ll take each of those themes in turn, but, before diving into them, I want to take a moment to lay some groundwork and emphasize the importance of digital identity.</w:t>
            </w:r>
          </w:p>
          <w:p w14:paraId="57972B53" w14:textId="77777777" w:rsidR="00E36FDB" w:rsidRDefault="00E36FDB" w:rsidP="00E36FDB">
            <w:pPr>
              <w:shd w:val="clear" w:color="auto" w:fill="FFFFFF"/>
              <w:textAlignment w:val="baseline"/>
            </w:pPr>
          </w:p>
          <w:p w14:paraId="5D65F74D" w14:textId="77777777" w:rsidR="00E36FDB" w:rsidRDefault="00E36FDB" w:rsidP="00E36FDB">
            <w:pPr>
              <w:shd w:val="clear" w:color="auto" w:fill="FFFFFF"/>
              <w:textAlignment w:val="baseline"/>
            </w:pPr>
            <w:r>
              <w:t>At FinCEN, we are pragmatically focused on our mission to protect the U.S. financial system from illicit finance threats.</w:t>
            </w:r>
          </w:p>
          <w:p w14:paraId="2BCD313F" w14:textId="77777777" w:rsidR="00E36FDB" w:rsidRDefault="00E36FDB" w:rsidP="00E36FDB">
            <w:pPr>
              <w:shd w:val="clear" w:color="auto" w:fill="FFFFFF"/>
              <w:textAlignment w:val="baseline"/>
            </w:pPr>
          </w:p>
          <w:p w14:paraId="79E7036B" w14:textId="77777777" w:rsidR="00E36FDB" w:rsidRDefault="00E36FDB" w:rsidP="00E36FDB">
            <w:pPr>
              <w:shd w:val="clear" w:color="auto" w:fill="FFFFFF"/>
              <w:textAlignment w:val="baseline"/>
            </w:pPr>
            <w:r>
              <w:t xml:space="preserve">Identity is fundamental to the effectiveness of every financial institution’s AML/CFT program regardless of whether customers are using traditional depository financial institutions, money services businesses, or emerging digital asset products.  Many of FinCEN’s regulations and authorities are designed to help financial institutions and law enforcement identify customers and the nature of their activity.  </w:t>
            </w:r>
          </w:p>
          <w:p w14:paraId="2E7B0F4A" w14:textId="77777777" w:rsidR="00E36FDB" w:rsidRDefault="00E36FDB" w:rsidP="00E36FDB">
            <w:pPr>
              <w:shd w:val="clear" w:color="auto" w:fill="FFFFFF"/>
              <w:textAlignment w:val="baseline"/>
            </w:pPr>
          </w:p>
          <w:p w14:paraId="4206679E" w14:textId="77777777" w:rsidR="00E36FDB" w:rsidRDefault="00E36FDB" w:rsidP="00E36FDB">
            <w:pPr>
              <w:shd w:val="clear" w:color="auto" w:fill="FFFFFF"/>
              <w:textAlignment w:val="baseline"/>
            </w:pPr>
            <w:r>
              <w:t>They include the foundational AML Program rules; various reporting requirements like the Suspicious Activity Reports (SARs) and Currency Transaction Reports; as well as recordkeeping requirements like the Customer Identification Program (CIP) Rule and Customer Due Diligence (CDD) Rule.  Identity is also at the heart of other, more targeted, FinCEN authorities, such as Geographic Targeting Orders (GTOs)—most notably FinCEN’s GTOs in the real estate sector focused on cash purchasers.</w:t>
            </w:r>
          </w:p>
          <w:p w14:paraId="0AC1FB28" w14:textId="77777777" w:rsidR="00E36FDB" w:rsidRDefault="00E36FDB" w:rsidP="00E36FDB">
            <w:pPr>
              <w:shd w:val="clear" w:color="auto" w:fill="FFFFFF"/>
              <w:textAlignment w:val="baseline"/>
            </w:pPr>
          </w:p>
          <w:p w14:paraId="5E0B08CA" w14:textId="77777777" w:rsidR="00685FB1" w:rsidRDefault="00E36FDB" w:rsidP="00E36FDB">
            <w:pPr>
              <w:shd w:val="clear" w:color="auto" w:fill="FFFFFF"/>
              <w:textAlignment w:val="baseline"/>
            </w:pPr>
            <w:r>
              <w:t>To get financial services right, we need to get identity right.  It is vital to building trust in the system.  Getting identity “right” means implementing identity solutions that preserve privacy and security, promote financial inclusion, and protect the integrity of the financial system.</w:t>
            </w:r>
          </w:p>
          <w:p w14:paraId="5643AC59" w14:textId="77777777" w:rsidR="004E5F55" w:rsidRDefault="004E5F55" w:rsidP="00E36FDB">
            <w:pPr>
              <w:shd w:val="clear" w:color="auto" w:fill="FFFFFF"/>
              <w:textAlignment w:val="baseline"/>
            </w:pPr>
          </w:p>
          <w:p w14:paraId="5EEB6217" w14:textId="6607C749" w:rsidR="004E5F55" w:rsidRPr="00905463" w:rsidRDefault="004E5F55" w:rsidP="004E5F55">
            <w:pPr>
              <w:rPr>
                <w:rFonts w:cstheme="minorHAnsi"/>
                <w:b/>
                <w:bCs/>
                <w:i/>
                <w:iCs/>
                <w:color w:val="002060"/>
              </w:rPr>
            </w:pPr>
            <w:r w:rsidRPr="00905463">
              <w:rPr>
                <w:rFonts w:cstheme="minorHAnsi"/>
                <w:b/>
                <w:bCs/>
                <w:i/>
                <w:iCs/>
                <w:color w:val="002060"/>
              </w:rPr>
              <w:t xml:space="preserve">Comment: </w:t>
            </w:r>
            <w:r w:rsidR="005D301F">
              <w:rPr>
                <w:rFonts w:cstheme="minorHAnsi"/>
                <w:b/>
                <w:bCs/>
                <w:i/>
                <w:iCs/>
                <w:color w:val="002060"/>
              </w:rPr>
              <w:t xml:space="preserve">Anytime FinCEN mentions ‘emerging threats,’ those remarks are worth paying attention too. </w:t>
            </w:r>
          </w:p>
          <w:p w14:paraId="5C71C889" w14:textId="685D16E1" w:rsidR="004E5F55" w:rsidRPr="00A33AAE" w:rsidRDefault="004E5F55" w:rsidP="00E36FDB">
            <w:pPr>
              <w:shd w:val="clear" w:color="auto" w:fill="FFFFFF"/>
              <w:textAlignment w:val="baseline"/>
            </w:pPr>
          </w:p>
        </w:tc>
      </w:tr>
    </w:tbl>
    <w:p w14:paraId="1DDD0CDB" w14:textId="270F550C" w:rsidR="00AC1F42" w:rsidRPr="001E0B8E" w:rsidRDefault="00AC1F42"/>
    <w:p w14:paraId="0E392223" w14:textId="17B4C8EB" w:rsidR="001D488F" w:rsidRPr="001E0B8E" w:rsidRDefault="000015D0">
      <w:pPr>
        <w:rPr>
          <w:rFonts w:cstheme="minorHAnsi"/>
          <w:b/>
          <w:bCs/>
        </w:rPr>
      </w:pPr>
      <w:r w:rsidRPr="001E0B8E">
        <w:rPr>
          <w:rFonts w:ascii="Verdana" w:hAnsi="Verdana"/>
          <w:b/>
          <w:bCs/>
        </w:rPr>
        <w:t xml:space="preserve">Deposit </w:t>
      </w:r>
      <w:r w:rsidR="00764234" w:rsidRPr="001E0B8E">
        <w:rPr>
          <w:rFonts w:ascii="Verdana" w:hAnsi="Verdana"/>
          <w:b/>
          <w:bCs/>
        </w:rPr>
        <w:t xml:space="preserve">/ Retail </w:t>
      </w:r>
      <w:r w:rsidRPr="001E0B8E">
        <w:rPr>
          <w:rFonts w:ascii="Verdana" w:hAnsi="Verdana"/>
          <w:b/>
          <w:bCs/>
        </w:rPr>
        <w:t>Operations</w:t>
      </w:r>
    </w:p>
    <w:tbl>
      <w:tblPr>
        <w:tblStyle w:val="TableGrid"/>
        <w:tblW w:w="0" w:type="auto"/>
        <w:tblLook w:val="04A0" w:firstRow="1" w:lastRow="0" w:firstColumn="1" w:lastColumn="0" w:noHBand="0" w:noVBand="1"/>
      </w:tblPr>
      <w:tblGrid>
        <w:gridCol w:w="985"/>
        <w:gridCol w:w="8365"/>
      </w:tblGrid>
      <w:tr w:rsidR="000134BC" w:rsidRPr="001E0B8E" w14:paraId="209A3342" w14:textId="77777777" w:rsidTr="000134BC">
        <w:tc>
          <w:tcPr>
            <w:tcW w:w="985" w:type="dxa"/>
            <w:shd w:val="clear" w:color="auto" w:fill="00B050"/>
          </w:tcPr>
          <w:p w14:paraId="36E70181" w14:textId="77777777" w:rsidR="000134BC" w:rsidRPr="001E0B8E" w:rsidRDefault="000134BC" w:rsidP="0019152D">
            <w:pPr>
              <w:rPr>
                <w:rFonts w:cstheme="minorHAnsi"/>
              </w:rPr>
            </w:pPr>
          </w:p>
        </w:tc>
        <w:tc>
          <w:tcPr>
            <w:tcW w:w="8365" w:type="dxa"/>
          </w:tcPr>
          <w:p w14:paraId="01EB7B6A" w14:textId="77777777" w:rsidR="000134BC" w:rsidRDefault="000134BC" w:rsidP="00905463">
            <w:pPr>
              <w:rPr>
                <w:rFonts w:cstheme="minorHAnsi"/>
              </w:rPr>
            </w:pPr>
            <w:r w:rsidRPr="000134BC">
              <w:rPr>
                <w:rFonts w:cstheme="minorHAnsi"/>
                <w:b/>
                <w:bCs/>
              </w:rPr>
              <w:t>FTC</w:t>
            </w:r>
            <w:r w:rsidRPr="000134BC">
              <w:rPr>
                <w:rFonts w:cstheme="minorHAnsi"/>
              </w:rPr>
              <w:t xml:space="preserve"> </w:t>
            </w:r>
            <w:hyperlink r:id="rId13" w:history="1">
              <w:r w:rsidRPr="000134BC">
                <w:rPr>
                  <w:rStyle w:val="Hyperlink"/>
                  <w:rFonts w:cstheme="minorHAnsi"/>
                </w:rPr>
                <w:t xml:space="preserve">Visit ftc.gov/languages </w:t>
              </w:r>
              <w:r>
                <w:rPr>
                  <w:rStyle w:val="Hyperlink"/>
                  <w:rFonts w:cstheme="minorHAnsi"/>
                </w:rPr>
                <w:t>F</w:t>
              </w:r>
              <w:r w:rsidRPr="000134BC">
                <w:rPr>
                  <w:rStyle w:val="Hyperlink"/>
                  <w:rFonts w:cstheme="minorHAnsi"/>
                </w:rPr>
                <w:t xml:space="preserve">or </w:t>
              </w:r>
              <w:r>
                <w:rPr>
                  <w:rStyle w:val="Hyperlink"/>
                  <w:rFonts w:cstheme="minorHAnsi"/>
                </w:rPr>
                <w:t>F</w:t>
              </w:r>
              <w:r w:rsidRPr="000134BC">
                <w:rPr>
                  <w:rStyle w:val="Hyperlink"/>
                  <w:rFonts w:cstheme="minorHAnsi"/>
                </w:rPr>
                <w:t xml:space="preserve">raud and </w:t>
              </w:r>
              <w:r>
                <w:rPr>
                  <w:rStyle w:val="Hyperlink"/>
                  <w:rFonts w:cstheme="minorHAnsi"/>
                </w:rPr>
                <w:t>S</w:t>
              </w:r>
              <w:r w:rsidRPr="000134BC">
                <w:rPr>
                  <w:rStyle w:val="Hyperlink"/>
                  <w:rFonts w:cstheme="minorHAnsi"/>
                </w:rPr>
                <w:t xml:space="preserve">cam </w:t>
              </w:r>
              <w:r>
                <w:rPr>
                  <w:rStyle w:val="Hyperlink"/>
                  <w:rFonts w:cstheme="minorHAnsi"/>
                </w:rPr>
                <w:t>A</w:t>
              </w:r>
              <w:r w:rsidRPr="000134BC">
                <w:rPr>
                  <w:rStyle w:val="Hyperlink"/>
                  <w:rFonts w:cstheme="minorHAnsi"/>
                </w:rPr>
                <w:t xml:space="preserve">dvice in 12 </w:t>
              </w:r>
              <w:r>
                <w:rPr>
                  <w:rStyle w:val="Hyperlink"/>
                  <w:rFonts w:cstheme="minorHAnsi"/>
                </w:rPr>
                <w:t>L</w:t>
              </w:r>
              <w:r w:rsidRPr="000134BC">
                <w:rPr>
                  <w:rStyle w:val="Hyperlink"/>
                  <w:rFonts w:cstheme="minorHAnsi"/>
                </w:rPr>
                <w:t>anguages</w:t>
              </w:r>
            </w:hyperlink>
            <w:r w:rsidRPr="000134BC">
              <w:rPr>
                <w:rFonts w:cstheme="minorHAnsi"/>
              </w:rPr>
              <w:t xml:space="preserve"> </w:t>
            </w:r>
            <w:r>
              <w:rPr>
                <w:rFonts w:cstheme="minorHAnsi"/>
              </w:rPr>
              <w:t xml:space="preserve">(02/03/2023) - </w:t>
            </w:r>
            <w:r w:rsidRPr="000134BC">
              <w:rPr>
                <w:rFonts w:cstheme="minorHAnsi"/>
              </w:rPr>
              <w:t xml:space="preserve">Fraud affects every community, and it’s not unusual for scammers to run their scam in the language you speak at home. Now, the FTC has information in a dozen languages to help you spot and avoid those scams at ftc.gov/languages. You’ll find info in Amharic, Arabic, </w:t>
            </w:r>
            <w:r w:rsidRPr="000134BC">
              <w:rPr>
                <w:rFonts w:cstheme="minorHAnsi"/>
              </w:rPr>
              <w:lastRenderedPageBreak/>
              <w:t>Chinese (Simplified and Traditional), French, Hmong, Korean, Russian, Somali, Tagalog, Vietnamese, and Ukrainian. So, what will you find there?</w:t>
            </w:r>
          </w:p>
          <w:p w14:paraId="53682917" w14:textId="77777777" w:rsidR="000134BC" w:rsidRDefault="000134BC" w:rsidP="00905463"/>
          <w:p w14:paraId="58183D05" w14:textId="57B978FD" w:rsidR="000134BC" w:rsidRPr="00905463" w:rsidRDefault="000134BC" w:rsidP="000134BC">
            <w:pPr>
              <w:rPr>
                <w:rFonts w:cstheme="minorHAnsi"/>
                <w:b/>
                <w:bCs/>
                <w:i/>
                <w:iCs/>
                <w:color w:val="002060"/>
              </w:rPr>
            </w:pPr>
            <w:r w:rsidRPr="00905463">
              <w:rPr>
                <w:rFonts w:cstheme="minorHAnsi"/>
                <w:b/>
                <w:bCs/>
                <w:i/>
                <w:iCs/>
                <w:color w:val="002060"/>
              </w:rPr>
              <w:t xml:space="preserve">Comment: </w:t>
            </w:r>
            <w:r w:rsidR="005B2B6A">
              <w:rPr>
                <w:rFonts w:cstheme="minorHAnsi"/>
                <w:b/>
                <w:bCs/>
                <w:i/>
                <w:iCs/>
                <w:color w:val="002060"/>
              </w:rPr>
              <w:t xml:space="preserve">If you have a vulnerable population separated by a language barrier, think about sharing these resources in their native tongue. </w:t>
            </w:r>
          </w:p>
          <w:p w14:paraId="57317D21" w14:textId="41EA450F" w:rsidR="000134BC" w:rsidRPr="000134BC" w:rsidRDefault="000134BC" w:rsidP="00905463">
            <w:pPr>
              <w:rPr>
                <w:rFonts w:cstheme="minorHAnsi"/>
              </w:rPr>
            </w:pPr>
          </w:p>
        </w:tc>
      </w:tr>
      <w:tr w:rsidR="000134BC" w:rsidRPr="001E0B8E" w14:paraId="3F1AC87B" w14:textId="77777777" w:rsidTr="000134BC">
        <w:tc>
          <w:tcPr>
            <w:tcW w:w="985" w:type="dxa"/>
            <w:shd w:val="clear" w:color="auto" w:fill="auto"/>
          </w:tcPr>
          <w:p w14:paraId="6154CCBA" w14:textId="77777777" w:rsidR="000134BC" w:rsidRPr="001E0B8E" w:rsidRDefault="000134BC" w:rsidP="0019152D">
            <w:pPr>
              <w:rPr>
                <w:rFonts w:cstheme="minorHAnsi"/>
              </w:rPr>
            </w:pPr>
          </w:p>
        </w:tc>
        <w:tc>
          <w:tcPr>
            <w:tcW w:w="8365" w:type="dxa"/>
          </w:tcPr>
          <w:p w14:paraId="0D3ED916" w14:textId="77777777" w:rsidR="000134BC" w:rsidRPr="00905463" w:rsidRDefault="000134BC" w:rsidP="00905463">
            <w:pPr>
              <w:rPr>
                <w:rFonts w:cstheme="minorHAnsi"/>
                <w:b/>
                <w:bCs/>
              </w:rPr>
            </w:pPr>
          </w:p>
        </w:tc>
      </w:tr>
      <w:tr w:rsidR="000829A5" w:rsidRPr="001E0B8E" w14:paraId="41644271" w14:textId="77777777" w:rsidTr="004638BE">
        <w:tc>
          <w:tcPr>
            <w:tcW w:w="985" w:type="dxa"/>
            <w:shd w:val="clear" w:color="auto" w:fill="00B050"/>
          </w:tcPr>
          <w:p w14:paraId="7579B122" w14:textId="77777777" w:rsidR="000829A5" w:rsidRPr="001E0B8E" w:rsidRDefault="000829A5" w:rsidP="0019152D">
            <w:pPr>
              <w:rPr>
                <w:rFonts w:cstheme="minorHAnsi"/>
              </w:rPr>
            </w:pPr>
          </w:p>
        </w:tc>
        <w:tc>
          <w:tcPr>
            <w:tcW w:w="8365" w:type="dxa"/>
          </w:tcPr>
          <w:p w14:paraId="35E9D71E" w14:textId="679A610C" w:rsidR="00905463" w:rsidRPr="00905463" w:rsidRDefault="00905463" w:rsidP="00905463">
            <w:pPr>
              <w:rPr>
                <w:rFonts w:cstheme="minorHAnsi"/>
              </w:rPr>
            </w:pPr>
            <w:r w:rsidRPr="00905463">
              <w:rPr>
                <w:rFonts w:cstheme="minorHAnsi"/>
                <w:b/>
                <w:bCs/>
              </w:rPr>
              <w:t>FDIC</w:t>
            </w:r>
            <w:r>
              <w:rPr>
                <w:rFonts w:cstheme="minorHAnsi"/>
              </w:rPr>
              <w:t xml:space="preserve"> </w:t>
            </w:r>
            <w:hyperlink r:id="rId14" w:history="1">
              <w:r w:rsidRPr="00905463">
                <w:rPr>
                  <w:rStyle w:val="Hyperlink"/>
                  <w:rFonts w:cstheme="minorHAnsi"/>
                </w:rPr>
                <w:t>Announces 45-Day Extension of Comment Period for Proposed Changes to its Regulation Regarding the FDIC Official Sign, Advertising Statement, and Misrepresentations of Deposit Insurance</w:t>
              </w:r>
            </w:hyperlink>
            <w:r>
              <w:rPr>
                <w:rFonts w:cstheme="minorHAnsi"/>
              </w:rPr>
              <w:t xml:space="preserve"> (01/30/2023) - </w:t>
            </w:r>
            <w:r w:rsidRPr="00905463">
              <w:rPr>
                <w:rFonts w:cstheme="minorHAnsi"/>
              </w:rPr>
              <w:t>WASHINGTON – The Federal Deposit Insurance Corporation (FDIC) today announced a 45-day extension to the public comment period for proposed changes to its regulations relating to the FDIC’s official sign, the FDIC’s official advertising statement, misrepresentations of deposit insurance coverage, and misuse of the FDIC’s name or logo. Comments must be received by the FDIC no later than April 7, 2023.</w:t>
            </w:r>
          </w:p>
          <w:p w14:paraId="66EE669F" w14:textId="77777777" w:rsidR="00905463" w:rsidRPr="00905463" w:rsidRDefault="00905463" w:rsidP="00905463">
            <w:pPr>
              <w:rPr>
                <w:rFonts w:cstheme="minorHAnsi"/>
              </w:rPr>
            </w:pPr>
          </w:p>
          <w:p w14:paraId="62E3E1F6" w14:textId="77777777" w:rsidR="00905463" w:rsidRPr="00905463" w:rsidRDefault="00905463" w:rsidP="00905463">
            <w:pPr>
              <w:rPr>
                <w:rFonts w:cstheme="minorHAnsi"/>
              </w:rPr>
            </w:pPr>
            <w:r w:rsidRPr="00905463">
              <w:rPr>
                <w:rFonts w:cstheme="minorHAnsi"/>
              </w:rPr>
              <w:t>On December 13, 2022, the FDIC announced a Notice of Proposed Rulemaking (NPR) to modernize part 328 of its regulations and provided for a 60-day comment period following formal publication in the Federal Register (87 FR 78017), which occurred on December 21, 2022. After receiving requests to extend the comment period, the FDIC determined that a 45–day extension of the comment period is appropriate and will provide additional opportunity for the public to prepare comments and address the matters raised by the NPR.</w:t>
            </w:r>
          </w:p>
          <w:p w14:paraId="5B609267" w14:textId="77777777" w:rsidR="00905463" w:rsidRPr="00905463" w:rsidRDefault="00905463" w:rsidP="00905463">
            <w:pPr>
              <w:rPr>
                <w:rFonts w:cstheme="minorHAnsi"/>
              </w:rPr>
            </w:pPr>
          </w:p>
          <w:p w14:paraId="22DD52CF" w14:textId="77777777" w:rsidR="00905463" w:rsidRPr="00905463" w:rsidRDefault="00905463" w:rsidP="00905463">
            <w:pPr>
              <w:rPr>
                <w:rFonts w:cstheme="minorHAnsi"/>
              </w:rPr>
            </w:pPr>
            <w:r w:rsidRPr="00905463">
              <w:rPr>
                <w:rFonts w:cstheme="minorHAnsi"/>
              </w:rPr>
              <w:t>The proposed regulation would modernize the rules governing the use of the official FDIC sign and insured depository institutions’ (IDIs’) advertising statements to reflect how depositors do business with IDIs today, including through digital and mobile channels. The proposed rule also would clarify the FDIC’s regulations regarding misrepresentations of FDIC deposit insurance coverage by addressing specific scenarios where consumers may be misled about whether their funds are protected by deposit insurance. The changes would enable consumers to better understand when they are doing business with an IDI and when their funds are covered by the FDIC’s deposit insurance.</w:t>
            </w:r>
          </w:p>
          <w:p w14:paraId="588D578B" w14:textId="45085F92" w:rsidR="00F9384F" w:rsidRPr="00F9384F" w:rsidRDefault="00F9384F" w:rsidP="001E2B98">
            <w:pPr>
              <w:rPr>
                <w:rFonts w:cstheme="minorHAnsi"/>
              </w:rPr>
            </w:pPr>
          </w:p>
        </w:tc>
      </w:tr>
    </w:tbl>
    <w:p w14:paraId="5BB3FAA9" w14:textId="5B597A23" w:rsidR="000015D0" w:rsidRPr="001E0B8E" w:rsidRDefault="000015D0">
      <w:pPr>
        <w:rPr>
          <w:rFonts w:ascii="Verdana" w:hAnsi="Verdana"/>
          <w:b/>
          <w:bCs/>
        </w:rPr>
      </w:pPr>
    </w:p>
    <w:p w14:paraId="79A26B60" w14:textId="77777777" w:rsidR="00AC1F42" w:rsidRPr="001E0B8E" w:rsidRDefault="00AC1F42" w:rsidP="00AC1F42">
      <w:pPr>
        <w:rPr>
          <w:rFonts w:ascii="Verdana" w:hAnsi="Verdana"/>
          <w:b/>
          <w:bCs/>
        </w:rPr>
      </w:pPr>
      <w:r w:rsidRPr="001E0B8E">
        <w:rPr>
          <w:rFonts w:ascii="Verdana" w:hAnsi="Verdana"/>
          <w:b/>
          <w:bCs/>
        </w:rPr>
        <w:t>Human Resources</w:t>
      </w:r>
    </w:p>
    <w:tbl>
      <w:tblPr>
        <w:tblStyle w:val="TableGrid"/>
        <w:tblW w:w="0" w:type="auto"/>
        <w:tblLook w:val="04A0" w:firstRow="1" w:lastRow="0" w:firstColumn="1" w:lastColumn="0" w:noHBand="0" w:noVBand="1"/>
      </w:tblPr>
      <w:tblGrid>
        <w:gridCol w:w="985"/>
        <w:gridCol w:w="8365"/>
      </w:tblGrid>
      <w:tr w:rsidR="00BF315E" w:rsidRPr="001E0B8E" w14:paraId="0AB56295" w14:textId="77777777" w:rsidTr="00494CF2">
        <w:tc>
          <w:tcPr>
            <w:tcW w:w="985" w:type="dxa"/>
            <w:shd w:val="clear" w:color="auto" w:fill="FFFF00"/>
          </w:tcPr>
          <w:p w14:paraId="01AB86D6" w14:textId="77777777" w:rsidR="00BF315E" w:rsidRPr="00A735DB" w:rsidRDefault="00BF315E" w:rsidP="00215448"/>
        </w:tc>
        <w:tc>
          <w:tcPr>
            <w:tcW w:w="8365" w:type="dxa"/>
          </w:tcPr>
          <w:p w14:paraId="2C606FFF" w14:textId="460C1BDC" w:rsidR="00494CF2" w:rsidRPr="00196AB1" w:rsidRDefault="00494CF2" w:rsidP="00494CF2">
            <w:pPr>
              <w:shd w:val="clear" w:color="auto" w:fill="FFFFFF"/>
              <w:tabs>
                <w:tab w:val="left" w:pos="5790"/>
              </w:tabs>
              <w:textAlignment w:val="baseline"/>
              <w:rPr>
                <w:rFonts w:cstheme="minorHAnsi"/>
              </w:rPr>
            </w:pPr>
          </w:p>
        </w:tc>
      </w:tr>
    </w:tbl>
    <w:p w14:paraId="12AF805C" w14:textId="7522E3B5" w:rsidR="00AC1F42" w:rsidRPr="001E0B8E" w:rsidRDefault="00AC1F42">
      <w:pPr>
        <w:rPr>
          <w:rFonts w:ascii="Verdana" w:hAnsi="Verdana"/>
          <w:b/>
          <w:bCs/>
        </w:rPr>
      </w:pPr>
    </w:p>
    <w:p w14:paraId="6F291F0F" w14:textId="77777777" w:rsidR="00AC1F42" w:rsidRPr="001E0B8E" w:rsidRDefault="00AC1F42" w:rsidP="00AC1F42">
      <w:pPr>
        <w:rPr>
          <w:rFonts w:ascii="Verdana" w:hAnsi="Verdana"/>
          <w:b/>
          <w:bCs/>
        </w:rPr>
      </w:pPr>
      <w:r w:rsidRPr="001E0B8E">
        <w:rPr>
          <w:rFonts w:ascii="Verdana" w:hAnsi="Verdana"/>
          <w:b/>
          <w:bCs/>
        </w:rPr>
        <w:t>Lending</w:t>
      </w:r>
    </w:p>
    <w:tbl>
      <w:tblPr>
        <w:tblStyle w:val="TableGrid"/>
        <w:tblW w:w="0" w:type="auto"/>
        <w:tblLook w:val="04A0" w:firstRow="1" w:lastRow="0" w:firstColumn="1" w:lastColumn="0" w:noHBand="0" w:noVBand="1"/>
      </w:tblPr>
      <w:tblGrid>
        <w:gridCol w:w="978"/>
        <w:gridCol w:w="8372"/>
      </w:tblGrid>
      <w:tr w:rsidR="00E0617C" w:rsidRPr="001E0B8E" w14:paraId="6D816342" w14:textId="77777777" w:rsidTr="00852A26">
        <w:tc>
          <w:tcPr>
            <w:tcW w:w="978" w:type="dxa"/>
            <w:shd w:val="clear" w:color="auto" w:fill="00B050"/>
          </w:tcPr>
          <w:p w14:paraId="0FC67860" w14:textId="77777777" w:rsidR="00E0617C" w:rsidRPr="001E0B8E" w:rsidRDefault="00E0617C" w:rsidP="00EE3D72">
            <w:pPr>
              <w:tabs>
                <w:tab w:val="left" w:pos="500"/>
              </w:tabs>
              <w:rPr>
                <w:color w:val="00B050"/>
              </w:rPr>
            </w:pPr>
          </w:p>
        </w:tc>
        <w:tc>
          <w:tcPr>
            <w:tcW w:w="8372" w:type="dxa"/>
          </w:tcPr>
          <w:p w14:paraId="28FCC3E9" w14:textId="7FF31DD1" w:rsidR="00E0617C" w:rsidRPr="00E0617C" w:rsidRDefault="00E0617C" w:rsidP="00E0617C">
            <w:pPr>
              <w:rPr>
                <w:rFonts w:cstheme="minorHAnsi"/>
              </w:rPr>
            </w:pPr>
            <w:r w:rsidRPr="00E0617C">
              <w:rPr>
                <w:rFonts w:cstheme="minorHAnsi"/>
                <w:b/>
                <w:bCs/>
              </w:rPr>
              <w:t>FDIC</w:t>
            </w:r>
            <w:r w:rsidRPr="00E0617C">
              <w:rPr>
                <w:rFonts w:cstheme="minorHAnsi"/>
              </w:rPr>
              <w:t xml:space="preserve"> </w:t>
            </w:r>
            <w:hyperlink r:id="rId15" w:history="1">
              <w:r w:rsidRPr="00E0617C">
                <w:rPr>
                  <w:rStyle w:val="Hyperlink"/>
                  <w:rFonts w:cstheme="minorHAnsi"/>
                </w:rPr>
                <w:t>Supervisory Approach Regarding Changes to HMDA’s Closed-End Mortgage Loan Volume Reporting Threshold (</w:t>
              </w:r>
            </w:hyperlink>
            <w:r>
              <w:rPr>
                <w:rFonts w:cstheme="minorHAnsi"/>
              </w:rPr>
              <w:t xml:space="preserve">02/03/2023) - </w:t>
            </w:r>
            <w:r w:rsidRPr="00E0617C">
              <w:rPr>
                <w:rFonts w:cstheme="minorHAnsi"/>
              </w:rPr>
              <w:t xml:space="preserve">The Federal Deposit Insurance Corporation (FDIC) is issuing this Financial Institution Letter to inform supervised institutions of recent changes regarding the Home Mortgage Disclosure Act (HMDA) reporting threshold for closed-end mortgage loans and the FDIC’s supervisory approach for enforcing related requirements.  For FDIC-supervised institutions that meet Regulation C’s coverage requirements, the threshold for reporting data on closed-end mortgage loans is now 25 </w:t>
            </w:r>
            <w:r w:rsidRPr="00E0617C">
              <w:rPr>
                <w:rFonts w:cstheme="minorHAnsi"/>
              </w:rPr>
              <w:lastRenderedPageBreak/>
              <w:t>loans in each of the two preceding calendar years.  In addition, for closed-end mortgage data collected in the years 2022, 2021, or 2020, the FDIC does not intend to initiate enforcement actions or cite HMDA violations for certain failures to report such loan data, as described in detail below.</w:t>
            </w:r>
          </w:p>
          <w:p w14:paraId="03F48396" w14:textId="77777777" w:rsidR="00E0617C" w:rsidRPr="00E0617C" w:rsidRDefault="00E0617C" w:rsidP="00E0617C">
            <w:pPr>
              <w:rPr>
                <w:rFonts w:cstheme="minorHAnsi"/>
              </w:rPr>
            </w:pPr>
            <w:r w:rsidRPr="00E0617C">
              <w:rPr>
                <w:rFonts w:cstheme="minorHAnsi"/>
              </w:rPr>
              <w:t xml:space="preserve"> </w:t>
            </w:r>
          </w:p>
          <w:p w14:paraId="5668BEF9" w14:textId="77777777" w:rsidR="00E0617C" w:rsidRPr="00E0617C" w:rsidRDefault="00E0617C" w:rsidP="00E0617C">
            <w:pPr>
              <w:rPr>
                <w:rFonts w:cstheme="minorHAnsi"/>
              </w:rPr>
            </w:pPr>
            <w:r w:rsidRPr="00E0617C">
              <w:rPr>
                <w:rFonts w:cstheme="minorHAnsi"/>
              </w:rPr>
              <w:t>Statement of Applicability:</w:t>
            </w:r>
          </w:p>
          <w:p w14:paraId="0B733A1D" w14:textId="77777777" w:rsidR="00E0617C" w:rsidRPr="00E0617C" w:rsidRDefault="00E0617C" w:rsidP="00E0617C">
            <w:pPr>
              <w:rPr>
                <w:rFonts w:cstheme="minorHAnsi"/>
              </w:rPr>
            </w:pPr>
            <w:r w:rsidRPr="00E0617C">
              <w:rPr>
                <w:rFonts w:cstheme="minorHAnsi"/>
              </w:rPr>
              <w:t>This Financial Institution Letter (FIL) applies to all FDIC-supervised institutions.</w:t>
            </w:r>
          </w:p>
          <w:p w14:paraId="3B0B7236" w14:textId="77777777" w:rsidR="00E0617C" w:rsidRPr="00905463" w:rsidRDefault="00E0617C" w:rsidP="00E0617C">
            <w:pPr>
              <w:rPr>
                <w:rFonts w:cstheme="minorHAnsi"/>
              </w:rPr>
            </w:pPr>
          </w:p>
          <w:p w14:paraId="4129467A" w14:textId="68D4BE3E" w:rsidR="00E0617C" w:rsidRPr="00905463" w:rsidRDefault="00E0617C" w:rsidP="00E0617C">
            <w:pPr>
              <w:rPr>
                <w:rFonts w:cstheme="minorHAnsi"/>
                <w:b/>
                <w:bCs/>
                <w:i/>
                <w:iCs/>
                <w:color w:val="002060"/>
              </w:rPr>
            </w:pPr>
            <w:r w:rsidRPr="00905463">
              <w:rPr>
                <w:rFonts w:cstheme="minorHAnsi"/>
                <w:b/>
                <w:bCs/>
                <w:i/>
                <w:iCs/>
                <w:color w:val="002060"/>
              </w:rPr>
              <w:t xml:space="preserve">Comment: </w:t>
            </w:r>
            <w:r w:rsidR="005B2B6A">
              <w:rPr>
                <w:rFonts w:cstheme="minorHAnsi"/>
                <w:b/>
                <w:bCs/>
                <w:i/>
                <w:iCs/>
                <w:color w:val="002060"/>
              </w:rPr>
              <w:t xml:space="preserve">A clarification expected from the FDIC conforming to the CFPB’s technical amendment issued in December 2022. </w:t>
            </w:r>
            <w:r w:rsidRPr="00905463">
              <w:rPr>
                <w:rFonts w:cstheme="minorHAnsi"/>
                <w:b/>
                <w:bCs/>
                <w:i/>
                <w:iCs/>
                <w:color w:val="002060"/>
              </w:rPr>
              <w:t xml:space="preserve"> </w:t>
            </w:r>
          </w:p>
          <w:p w14:paraId="4C04C188" w14:textId="046AD3E8" w:rsidR="00E0617C" w:rsidRPr="00E0617C" w:rsidRDefault="00E0617C" w:rsidP="00E0617C">
            <w:pPr>
              <w:rPr>
                <w:rFonts w:cstheme="minorHAnsi"/>
              </w:rPr>
            </w:pPr>
          </w:p>
        </w:tc>
      </w:tr>
      <w:tr w:rsidR="00E0617C" w:rsidRPr="001E0B8E" w14:paraId="1542866B" w14:textId="77777777" w:rsidTr="00E0617C">
        <w:tc>
          <w:tcPr>
            <w:tcW w:w="978" w:type="dxa"/>
            <w:shd w:val="clear" w:color="auto" w:fill="auto"/>
          </w:tcPr>
          <w:p w14:paraId="73C2776F" w14:textId="77777777" w:rsidR="00E0617C" w:rsidRPr="001E0B8E" w:rsidRDefault="00E0617C" w:rsidP="00EE3D72">
            <w:pPr>
              <w:tabs>
                <w:tab w:val="left" w:pos="500"/>
              </w:tabs>
              <w:rPr>
                <w:color w:val="00B050"/>
              </w:rPr>
            </w:pPr>
          </w:p>
        </w:tc>
        <w:tc>
          <w:tcPr>
            <w:tcW w:w="8372" w:type="dxa"/>
          </w:tcPr>
          <w:p w14:paraId="066CC15B" w14:textId="77777777" w:rsidR="00E0617C" w:rsidRPr="00314B88" w:rsidRDefault="00E0617C" w:rsidP="00314B88">
            <w:pPr>
              <w:rPr>
                <w:rFonts w:cstheme="minorHAnsi"/>
                <w:b/>
                <w:bCs/>
              </w:rPr>
            </w:pPr>
          </w:p>
        </w:tc>
      </w:tr>
      <w:tr w:rsidR="007A622A" w:rsidRPr="001E0B8E" w14:paraId="61F8FBEF" w14:textId="77777777" w:rsidTr="004638BE">
        <w:tc>
          <w:tcPr>
            <w:tcW w:w="978" w:type="dxa"/>
            <w:shd w:val="clear" w:color="auto" w:fill="FFFF00"/>
          </w:tcPr>
          <w:p w14:paraId="64E69207" w14:textId="77777777" w:rsidR="007A622A" w:rsidRPr="001E0B8E" w:rsidRDefault="007A622A" w:rsidP="00EE3D72">
            <w:pPr>
              <w:tabs>
                <w:tab w:val="left" w:pos="500"/>
              </w:tabs>
              <w:rPr>
                <w:color w:val="00B050"/>
              </w:rPr>
            </w:pPr>
          </w:p>
        </w:tc>
        <w:tc>
          <w:tcPr>
            <w:tcW w:w="8372" w:type="dxa"/>
          </w:tcPr>
          <w:p w14:paraId="7B4EB616" w14:textId="10B89D31" w:rsidR="00314B88" w:rsidRDefault="00314B88" w:rsidP="00314B88">
            <w:pPr>
              <w:rPr>
                <w:rFonts w:cstheme="minorHAnsi"/>
              </w:rPr>
            </w:pPr>
            <w:r w:rsidRPr="00314B88">
              <w:rPr>
                <w:rFonts w:cstheme="minorHAnsi"/>
                <w:b/>
                <w:bCs/>
              </w:rPr>
              <w:t>CFPB</w:t>
            </w:r>
            <w:r>
              <w:rPr>
                <w:rFonts w:cstheme="minorHAnsi"/>
              </w:rPr>
              <w:t xml:space="preserve"> </w:t>
            </w:r>
            <w:hyperlink r:id="rId16" w:history="1">
              <w:r w:rsidRPr="00314B88">
                <w:rPr>
                  <w:rStyle w:val="Hyperlink"/>
                  <w:rFonts w:cstheme="minorHAnsi"/>
                </w:rPr>
                <w:t>Proposes Rule to Rein in Excessive Credit Card Late Fees</w:t>
              </w:r>
            </w:hyperlink>
            <w:r>
              <w:rPr>
                <w:rFonts w:cstheme="minorHAnsi"/>
              </w:rPr>
              <w:t xml:space="preserve"> (02/01/2023) - </w:t>
            </w:r>
            <w:r w:rsidRPr="00314B88">
              <w:rPr>
                <w:rFonts w:cstheme="minorHAnsi"/>
              </w:rPr>
              <w:t>WASHINGTON, D.C. — Today, the Consumer Financial Protection Bureau (CFPB) proposed a rule to curb excessive credit card late fees that cost American families about $12 billion each year. Major credit card issuers continue to profit off late fees that are protected by an expansive immunity provision. Credit card companies have also relied on this provision to hike fees with inflation, even if they face no additional collection costs. The proposed rule would help ensure that over-the-top late fee amounts are illegal. Based on the CFPB’s estimates, the proposal could reduce late fees by as much as $9 billion per year.</w:t>
            </w:r>
          </w:p>
          <w:p w14:paraId="07CC5D7C" w14:textId="77777777" w:rsidR="00314B88" w:rsidRPr="00314B88" w:rsidRDefault="00314B88" w:rsidP="00314B88">
            <w:pPr>
              <w:rPr>
                <w:rFonts w:cstheme="minorHAnsi"/>
              </w:rPr>
            </w:pPr>
          </w:p>
          <w:p w14:paraId="15AC5A50" w14:textId="462B157E" w:rsidR="00314B88" w:rsidRDefault="00314B88" w:rsidP="00314B88">
            <w:pPr>
              <w:rPr>
                <w:rFonts w:cstheme="minorHAnsi"/>
              </w:rPr>
            </w:pPr>
            <w:r w:rsidRPr="00314B88">
              <w:rPr>
                <w:rFonts w:cstheme="minorHAnsi"/>
              </w:rPr>
              <w:t>“Over a decade ago, Congress banned excessive credit card late fees, but companies have exploited a regulatory loophole that has allowed them to escape scrutiny for charging an otherwise illegal junk fee,” said CFPB Director Rohit Chopra. “Today’s proposed rule seeks to save families billions of dollars and ensure the credit card market is fair and competitive.”</w:t>
            </w:r>
          </w:p>
          <w:p w14:paraId="7DE46C7E" w14:textId="77777777" w:rsidR="00314B88" w:rsidRPr="00314B88" w:rsidRDefault="00314B88" w:rsidP="00314B88">
            <w:pPr>
              <w:rPr>
                <w:rFonts w:cstheme="minorHAnsi"/>
              </w:rPr>
            </w:pPr>
          </w:p>
          <w:p w14:paraId="42F3DE1D" w14:textId="77777777" w:rsidR="00B005C1" w:rsidRDefault="00314B88" w:rsidP="00314B88">
            <w:pPr>
              <w:rPr>
                <w:rFonts w:cstheme="minorHAnsi"/>
              </w:rPr>
            </w:pPr>
            <w:r w:rsidRPr="00314B88">
              <w:rPr>
                <w:rFonts w:cstheme="minorHAnsi"/>
              </w:rPr>
              <w:t>When someone misses a payment due date, even if they paid a few hours after the deadline, the cardholder may be hit with an exorbitant late fee that far exceeds the credit card company’s costs to collect late payments. These excessive late fees may not be needed to deter late payments, nor be justified based on the consumer’s conduct in paying late. These late fees also may be on top of other consequences of paying late, such as a lost grace period on paying interest or a lower credit score, depending on how long the missed payment lasts.</w:t>
            </w:r>
          </w:p>
          <w:p w14:paraId="3CE643E2" w14:textId="77777777" w:rsidR="00314B88" w:rsidRDefault="00314B88" w:rsidP="00314B88">
            <w:pPr>
              <w:rPr>
                <w:rFonts w:cstheme="minorHAnsi"/>
              </w:rPr>
            </w:pPr>
          </w:p>
          <w:p w14:paraId="36617310" w14:textId="399EE229" w:rsidR="00314B88" w:rsidRPr="00905463" w:rsidRDefault="00314B88" w:rsidP="00314B88">
            <w:pPr>
              <w:rPr>
                <w:rFonts w:cstheme="minorHAnsi"/>
                <w:b/>
                <w:bCs/>
                <w:i/>
                <w:iCs/>
                <w:color w:val="002060"/>
              </w:rPr>
            </w:pPr>
            <w:r w:rsidRPr="00905463">
              <w:rPr>
                <w:rFonts w:cstheme="minorHAnsi"/>
                <w:b/>
                <w:bCs/>
                <w:i/>
                <w:iCs/>
                <w:color w:val="002060"/>
              </w:rPr>
              <w:t xml:space="preserve">Comment: </w:t>
            </w:r>
            <w:r w:rsidR="004638BE" w:rsidRPr="004638BE">
              <w:rPr>
                <w:rFonts w:cstheme="minorHAnsi"/>
                <w:b/>
                <w:bCs/>
                <w:i/>
                <w:iCs/>
                <w:color w:val="002060"/>
              </w:rPr>
              <w:t xml:space="preserve">Under the CFPB's proposed rule, late fees would be capped at $8. </w:t>
            </w:r>
            <w:r w:rsidR="004638BE">
              <w:rPr>
                <w:rFonts w:cstheme="minorHAnsi"/>
                <w:b/>
                <w:bCs/>
                <w:i/>
                <w:iCs/>
                <w:color w:val="002060"/>
              </w:rPr>
              <w:t xml:space="preserve"> </w:t>
            </w:r>
            <w:r w:rsidR="004638BE" w:rsidRPr="004638BE">
              <w:rPr>
                <w:rFonts w:cstheme="minorHAnsi"/>
                <w:b/>
                <w:bCs/>
                <w:i/>
                <w:iCs/>
                <w:color w:val="002060"/>
              </w:rPr>
              <w:t>Credit card companies could charge more if they could prove that it was necessary to cover the costs of collecting the late payment, but the bureau said it had preliminarily found that the revenue generated by late fees was five times higher than related collection costs.</w:t>
            </w:r>
          </w:p>
          <w:p w14:paraId="7C7CFCBE" w14:textId="209CDD66" w:rsidR="00314B88" w:rsidRPr="007A622A" w:rsidRDefault="00314B88" w:rsidP="00314B88">
            <w:pPr>
              <w:rPr>
                <w:rFonts w:cstheme="minorHAnsi"/>
              </w:rPr>
            </w:pPr>
          </w:p>
        </w:tc>
      </w:tr>
    </w:tbl>
    <w:p w14:paraId="56869681" w14:textId="0448C788" w:rsidR="00AC1F42" w:rsidRPr="001E0B8E" w:rsidRDefault="00AC1F42">
      <w:pPr>
        <w:rPr>
          <w:rFonts w:ascii="Verdana" w:hAnsi="Verdana"/>
          <w:b/>
          <w:bCs/>
        </w:rPr>
      </w:pPr>
    </w:p>
    <w:p w14:paraId="07F698CF" w14:textId="4F60F86B" w:rsidR="000015D0" w:rsidRPr="001E0B8E" w:rsidRDefault="000015D0">
      <w:pPr>
        <w:rPr>
          <w:rFonts w:ascii="Verdana" w:hAnsi="Verdana"/>
          <w:b/>
          <w:bCs/>
        </w:rPr>
      </w:pPr>
      <w:r w:rsidRPr="001E0B8E">
        <w:rPr>
          <w:rFonts w:ascii="Verdana" w:hAnsi="Verdana"/>
          <w:b/>
          <w:bCs/>
        </w:rPr>
        <w:t>Technology</w:t>
      </w:r>
      <w:r w:rsidR="00FE2C94" w:rsidRPr="001E0B8E">
        <w:rPr>
          <w:rFonts w:ascii="Verdana" w:hAnsi="Verdana"/>
          <w:b/>
          <w:bCs/>
        </w:rPr>
        <w:t xml:space="preserve"> / Security </w:t>
      </w:r>
    </w:p>
    <w:tbl>
      <w:tblPr>
        <w:tblStyle w:val="TableGrid"/>
        <w:tblW w:w="0" w:type="auto"/>
        <w:tblLook w:val="04A0" w:firstRow="1" w:lastRow="0" w:firstColumn="1" w:lastColumn="0" w:noHBand="0" w:noVBand="1"/>
      </w:tblPr>
      <w:tblGrid>
        <w:gridCol w:w="985"/>
        <w:gridCol w:w="8365"/>
      </w:tblGrid>
      <w:tr w:rsidR="009F0CD7" w:rsidRPr="001E0B8E" w14:paraId="29E84FF2" w14:textId="77777777" w:rsidTr="00971DC0">
        <w:tc>
          <w:tcPr>
            <w:tcW w:w="985" w:type="dxa"/>
            <w:shd w:val="clear" w:color="auto" w:fill="FFFF00"/>
          </w:tcPr>
          <w:p w14:paraId="3A727E55" w14:textId="77777777" w:rsidR="009F0CD7" w:rsidRPr="00E00EE3" w:rsidRDefault="009F0CD7" w:rsidP="00E73F7F">
            <w:pPr>
              <w:tabs>
                <w:tab w:val="left" w:pos="480"/>
              </w:tabs>
            </w:pPr>
          </w:p>
        </w:tc>
        <w:tc>
          <w:tcPr>
            <w:tcW w:w="8365" w:type="dxa"/>
          </w:tcPr>
          <w:p w14:paraId="4F594688" w14:textId="7C870690" w:rsidR="00F235D4" w:rsidRPr="00F235D4" w:rsidRDefault="00F235D4" w:rsidP="00F235D4">
            <w:pPr>
              <w:rPr>
                <w:rFonts w:cstheme="minorHAnsi"/>
              </w:rPr>
            </w:pPr>
            <w:r w:rsidRPr="00F235D4">
              <w:rPr>
                <w:rFonts w:cstheme="minorHAnsi"/>
                <w:b/>
                <w:bCs/>
              </w:rPr>
              <w:t>CISA</w:t>
            </w:r>
            <w:r>
              <w:rPr>
                <w:rFonts w:cstheme="minorHAnsi"/>
              </w:rPr>
              <w:t xml:space="preserve"> </w:t>
            </w:r>
            <w:hyperlink r:id="rId17" w:history="1">
              <w:r w:rsidRPr="00F235D4">
                <w:rPr>
                  <w:rStyle w:val="Hyperlink"/>
                  <w:rFonts w:cstheme="minorHAnsi"/>
                </w:rPr>
                <w:t>Cisco Releases Security Advisories for Multiple Products</w:t>
              </w:r>
            </w:hyperlink>
            <w:r>
              <w:rPr>
                <w:rFonts w:cstheme="minorHAnsi"/>
              </w:rPr>
              <w:t xml:space="preserve"> (02/02/2023) - </w:t>
            </w:r>
            <w:r w:rsidRPr="00F235D4">
              <w:rPr>
                <w:rFonts w:cstheme="minorHAnsi"/>
              </w:rPr>
              <w:t>Cisco released security updates for vulnerabilities affecting multiple products. A remote attacker could exploit these vulnerabilities to take control of an affected system.</w:t>
            </w:r>
          </w:p>
          <w:p w14:paraId="4572FCB9" w14:textId="77777777" w:rsidR="00FB4D57" w:rsidRDefault="00F235D4" w:rsidP="00F235D4">
            <w:pPr>
              <w:rPr>
                <w:rFonts w:cstheme="minorHAnsi"/>
              </w:rPr>
            </w:pPr>
            <w:r w:rsidRPr="00F235D4">
              <w:rPr>
                <w:rFonts w:cstheme="minorHAnsi"/>
              </w:rPr>
              <w:lastRenderedPageBreak/>
              <w:t>CISA encourages users and administrators to review the Cisco Security Advisories page and apply the necessary updates.</w:t>
            </w:r>
          </w:p>
          <w:p w14:paraId="6BF517EB" w14:textId="77777777" w:rsidR="00F235D4" w:rsidRDefault="00F235D4" w:rsidP="00F235D4">
            <w:pPr>
              <w:rPr>
                <w:rFonts w:cstheme="minorHAnsi"/>
              </w:rPr>
            </w:pPr>
          </w:p>
          <w:p w14:paraId="53431547" w14:textId="3ABA1B4E" w:rsidR="00F235D4" w:rsidRPr="00905463" w:rsidRDefault="00F235D4" w:rsidP="00F235D4">
            <w:pPr>
              <w:rPr>
                <w:rFonts w:cstheme="minorHAnsi"/>
                <w:b/>
                <w:bCs/>
                <w:i/>
                <w:iCs/>
                <w:color w:val="002060"/>
              </w:rPr>
            </w:pPr>
            <w:r w:rsidRPr="00905463">
              <w:rPr>
                <w:rFonts w:cstheme="minorHAnsi"/>
                <w:b/>
                <w:bCs/>
                <w:i/>
                <w:iCs/>
                <w:color w:val="002060"/>
              </w:rPr>
              <w:t xml:space="preserve">Comment: </w:t>
            </w:r>
            <w:r w:rsidR="005B2B6A">
              <w:rPr>
                <w:rFonts w:cstheme="minorHAnsi"/>
                <w:b/>
                <w:bCs/>
                <w:i/>
                <w:iCs/>
                <w:color w:val="002060"/>
              </w:rPr>
              <w:t xml:space="preserve">Cisco is a major technology partner of community banks.  </w:t>
            </w:r>
            <w:proofErr w:type="spellStart"/>
            <w:r w:rsidR="005B2B6A">
              <w:rPr>
                <w:rFonts w:cstheme="minorHAnsi"/>
                <w:b/>
                <w:bCs/>
                <w:i/>
                <w:iCs/>
                <w:color w:val="002060"/>
              </w:rPr>
              <w:t>Its</w:t>
            </w:r>
            <w:proofErr w:type="spellEnd"/>
            <w:r w:rsidR="005B2B6A">
              <w:rPr>
                <w:rFonts w:cstheme="minorHAnsi"/>
                <w:b/>
                <w:bCs/>
                <w:i/>
                <w:iCs/>
                <w:color w:val="002060"/>
              </w:rPr>
              <w:t xml:space="preserve"> worth sharing these advisories with your IT staff. </w:t>
            </w:r>
            <w:r w:rsidRPr="00905463">
              <w:rPr>
                <w:rFonts w:cstheme="minorHAnsi"/>
                <w:b/>
                <w:bCs/>
                <w:i/>
                <w:iCs/>
                <w:color w:val="002060"/>
              </w:rPr>
              <w:t xml:space="preserve"> </w:t>
            </w:r>
          </w:p>
          <w:p w14:paraId="55654A82" w14:textId="675611C8" w:rsidR="00F235D4" w:rsidRPr="00F9384F" w:rsidRDefault="00F235D4" w:rsidP="00F235D4">
            <w:pPr>
              <w:rPr>
                <w:rFonts w:cstheme="minorHAnsi"/>
              </w:rPr>
            </w:pPr>
          </w:p>
        </w:tc>
      </w:tr>
    </w:tbl>
    <w:p w14:paraId="553C2D7C" w14:textId="00A9CDBC" w:rsidR="000015D0" w:rsidRPr="001E0B8E" w:rsidRDefault="000015D0" w:rsidP="00E73F7F">
      <w:pPr>
        <w:spacing w:after="0" w:line="240" w:lineRule="auto"/>
        <w:rPr>
          <w:rFonts w:ascii="Verdana" w:hAnsi="Verdana"/>
          <w:b/>
          <w:bCs/>
        </w:rPr>
      </w:pPr>
    </w:p>
    <w:p w14:paraId="4807BD9A" w14:textId="77777777" w:rsidR="00DE3A81" w:rsidRPr="001E0B8E" w:rsidRDefault="00DE3A81" w:rsidP="00DE3A81">
      <w:pPr>
        <w:rPr>
          <w:rFonts w:ascii="Verdana" w:hAnsi="Verdana"/>
          <w:b/>
          <w:bCs/>
          <w:color w:val="4472C4" w:themeColor="accent1"/>
          <w:sz w:val="28"/>
          <w:szCs w:val="28"/>
        </w:rPr>
      </w:pPr>
      <w:r w:rsidRPr="001E0B8E">
        <w:rPr>
          <w:rFonts w:ascii="Verdana" w:hAnsi="Verdana"/>
          <w:b/>
          <w:bCs/>
          <w:color w:val="4472C4" w:themeColor="accent1"/>
          <w:sz w:val="28"/>
          <w:szCs w:val="28"/>
        </w:rPr>
        <w:t xml:space="preserve">Selected federal rules – </w:t>
      </w:r>
      <w:proofErr w:type="gramStart"/>
      <w:r w:rsidRPr="001E0B8E">
        <w:rPr>
          <w:rFonts w:ascii="Verdana" w:hAnsi="Verdana"/>
          <w:b/>
          <w:bCs/>
          <w:color w:val="4472C4" w:themeColor="accent1"/>
          <w:sz w:val="28"/>
          <w:szCs w:val="28"/>
        </w:rPr>
        <w:t>proposed</w:t>
      </w:r>
      <w:proofErr w:type="gramEnd"/>
      <w:r w:rsidRPr="001E0B8E">
        <w:rPr>
          <w:rFonts w:ascii="Verdana" w:hAnsi="Verdana"/>
          <w:b/>
          <w:bCs/>
          <w:color w:val="4472C4" w:themeColor="accent1"/>
          <w:sz w:val="28"/>
          <w:szCs w:val="28"/>
        </w:rPr>
        <w:t xml:space="preserve"> </w:t>
      </w:r>
    </w:p>
    <w:p w14:paraId="6C0194C2" w14:textId="17D4466A" w:rsidR="00DE3A81" w:rsidRPr="001E0B8E" w:rsidRDefault="00DE3A81" w:rsidP="00DE3A81">
      <w:r w:rsidRPr="001E0B8E">
        <w:t>Proposed rules are included only when community banks may want to comment. Date posted may not be the same as the Federal Register Date</w:t>
      </w:r>
      <w:r w:rsidR="000B1F54" w:rsidRPr="001E0B8E">
        <w:t xml:space="preserve">. </w:t>
      </w:r>
    </w:p>
    <w:p w14:paraId="772E74AD" w14:textId="42F23F26" w:rsidR="009E6D74" w:rsidRPr="001E0B8E" w:rsidRDefault="009E6D74" w:rsidP="009E6D74">
      <w:pPr>
        <w:rPr>
          <w:b/>
          <w:bCs/>
        </w:rPr>
      </w:pPr>
      <w:r w:rsidRPr="001E0B8E">
        <w:rPr>
          <w:b/>
          <w:bCs/>
        </w:rPr>
        <w:t>PROPOSED RULE WITH REQUEST FOR PUBLIC COMMENT</w:t>
      </w:r>
    </w:p>
    <w:p w14:paraId="0758EAAD" w14:textId="77777777" w:rsidR="004F4EF2" w:rsidRPr="004F4EF2" w:rsidRDefault="004F4EF2" w:rsidP="004F4EF2">
      <w:pPr>
        <w:spacing w:after="0" w:line="240" w:lineRule="auto"/>
        <w:rPr>
          <w:rFonts w:ascii="Calibri" w:eastAsia="Calibri" w:hAnsi="Calibri" w:cs="Times New Roman"/>
        </w:rPr>
      </w:pPr>
      <w:r w:rsidRPr="004F4EF2">
        <w:rPr>
          <w:rFonts w:ascii="Calibri" w:eastAsia="Calibri" w:hAnsi="Calibri" w:cs="Times New Roman"/>
          <w:b/>
          <w:bCs/>
        </w:rPr>
        <w:t xml:space="preserve">12.16.2022 FinCEN </w:t>
      </w:r>
      <w:hyperlink r:id="rId18" w:history="1">
        <w:r w:rsidRPr="004F4EF2">
          <w:rPr>
            <w:rFonts w:ascii="Calibri" w:eastAsia="Calibri" w:hAnsi="Calibri" w:cs="Times New Roman"/>
            <w:b/>
            <w:bCs/>
            <w:color w:val="0563C1"/>
            <w:u w:val="single"/>
          </w:rPr>
          <w:t>Beneficial Ownership Information Access and Safeguards, and Use of FinCEN Identifiers for Entities</w:t>
        </w:r>
      </w:hyperlink>
      <w:r w:rsidRPr="004F4EF2">
        <w:rPr>
          <w:rFonts w:ascii="Calibri" w:eastAsia="Calibri" w:hAnsi="Calibri" w:cs="Times New Roman"/>
          <w:b/>
          <w:bCs/>
        </w:rPr>
        <w:t xml:space="preserve"> </w:t>
      </w:r>
      <w:r w:rsidRPr="004F4EF2">
        <w:rPr>
          <w:rFonts w:ascii="Calibri" w:eastAsia="Calibri" w:hAnsi="Calibri" w:cs="Times New Roman"/>
        </w:rPr>
        <w:t xml:space="preserve">FinCEN is promulgating proposed regulations regarding access by authorized recipients to beneficial ownership information (BOI) that will be reported to FinCEN pursuant to Section 6403 of the Corporate Transparency Act (CTA), enacted into law as part of the Anti-Money Laundering Act of 2020 (AML Act), which is itself part of the National Defense Authorization Act for Fiscal Year 2021 (NDAA). The proposed regulations would implement the strict protocols on security and confidentiality required by the CTA to protect sensitive personally identifiable information (PII) reported to FinCEN. The NPRM explains the circumstances in which specified recipients would have access to BOI and outlines data protection protocols and oversight mechanisms applicable to each recipient category. The disclosure of BOI to authorized recipients in accordance with appropriate protocols and oversight will help law enforcement and national security agencies prevent and combat money laundering, terrorist financing, tax fraud, and other illicit activity, as well as protect national security. FinCEN is also proposing regulations to specify when and how reporting companies can use FinCEN identifiers to report the BOI of entities. </w:t>
      </w:r>
      <w:r w:rsidRPr="004F4EF2">
        <w:rPr>
          <w:rFonts w:ascii="Calibri" w:eastAsia="Calibri" w:hAnsi="Calibri" w:cs="Times New Roman"/>
          <w:b/>
          <w:bCs/>
        </w:rPr>
        <w:t>DATES:  Written comments on this proposed rule may be submitted on or before February 14, 2023.</w:t>
      </w:r>
    </w:p>
    <w:p w14:paraId="5C3F66D5" w14:textId="77777777" w:rsidR="004F4EF2" w:rsidRPr="00C96525" w:rsidRDefault="004F4EF2" w:rsidP="00C96525">
      <w:pPr>
        <w:spacing w:after="0" w:line="240" w:lineRule="auto"/>
        <w:rPr>
          <w:rFonts w:ascii="Calibri" w:eastAsia="Calibri" w:hAnsi="Calibri" w:cs="Times New Roman"/>
          <w:b/>
          <w:bCs/>
        </w:rPr>
      </w:pPr>
    </w:p>
    <w:p w14:paraId="07110581" w14:textId="50FD5CCB" w:rsidR="00C96525" w:rsidRDefault="00A43B1F" w:rsidP="00C96525">
      <w:pPr>
        <w:spacing w:after="0" w:line="240" w:lineRule="auto"/>
        <w:rPr>
          <w:rFonts w:ascii="Calibri" w:eastAsia="Calibri" w:hAnsi="Calibri" w:cs="Times New Roman"/>
          <w:b/>
          <w:bCs/>
        </w:rPr>
      </w:pPr>
      <w:r>
        <w:rPr>
          <w:rFonts w:ascii="Calibri" w:eastAsia="Calibri" w:hAnsi="Calibri" w:cs="Times New Roman"/>
          <w:b/>
          <w:bCs/>
        </w:rPr>
        <w:t xml:space="preserve">01.05.2023 </w:t>
      </w:r>
      <w:hyperlink r:id="rId19" w:history="1">
        <w:r w:rsidRPr="00A43B1F">
          <w:rPr>
            <w:rStyle w:val="Hyperlink"/>
            <w:rFonts w:ascii="Calibri" w:eastAsia="Calibri" w:hAnsi="Calibri" w:cs="Times New Roman"/>
            <w:b/>
            <w:bCs/>
          </w:rPr>
          <w:t>FTC Non-Compete Clause Rulemaking</w:t>
        </w:r>
      </w:hyperlink>
      <w:r>
        <w:rPr>
          <w:rFonts w:ascii="Calibri" w:eastAsia="Calibri" w:hAnsi="Calibri" w:cs="Times New Roman"/>
          <w:b/>
          <w:bCs/>
        </w:rPr>
        <w:t xml:space="preserve"> </w:t>
      </w:r>
      <w:r w:rsidRPr="00A43B1F">
        <w:rPr>
          <w:rFonts w:ascii="Calibri" w:eastAsia="Calibri" w:hAnsi="Calibri" w:cs="Times New Roman"/>
        </w:rPr>
        <w:t xml:space="preserve">About one in five American workers—approximately 30 million people—are bound by a non-compete clause and are thus restricted from pursuing better employment opportunities. A non-compete clause is a contractual term between an employer and a worker that blocks the worker from working for a competing employer, or starting a competing business, typically within a certain geographic area and </w:t>
      </w:r>
      <w:proofErr w:type="gramStart"/>
      <w:r w:rsidRPr="00A43B1F">
        <w:rPr>
          <w:rFonts w:ascii="Calibri" w:eastAsia="Calibri" w:hAnsi="Calibri" w:cs="Times New Roman"/>
        </w:rPr>
        <w:t>period of time</w:t>
      </w:r>
      <w:proofErr w:type="gramEnd"/>
      <w:r w:rsidRPr="00A43B1F">
        <w:rPr>
          <w:rFonts w:ascii="Calibri" w:eastAsia="Calibri" w:hAnsi="Calibri" w:cs="Times New Roman"/>
        </w:rPr>
        <w:t xml:space="preserve"> after the worker’s employment ends. Because non-compete clauses prevent workers from leaving jobs and decrease competition for workers, they lower wages for both workers who are subject to them as well as workers who are not. Non-compete clauses also prevent new businesses from forming, stifling entrepreneurship, and prevent novel innovation which would otherwise occur when workers are able to broadly share their ideas.  The Federal Trade Commission proposes preventing employers from </w:t>
      </w:r>
      <w:proofErr w:type="gramStart"/>
      <w:r w:rsidRPr="00A43B1F">
        <w:rPr>
          <w:rFonts w:ascii="Calibri" w:eastAsia="Calibri" w:hAnsi="Calibri" w:cs="Times New Roman"/>
        </w:rPr>
        <w:t>entering into</w:t>
      </w:r>
      <w:proofErr w:type="gramEnd"/>
      <w:r w:rsidRPr="00A43B1F">
        <w:rPr>
          <w:rFonts w:ascii="Calibri" w:eastAsia="Calibri" w:hAnsi="Calibri" w:cs="Times New Roman"/>
        </w:rPr>
        <w:t xml:space="preserve"> non-compete clauses with workers and requiring employers to rescind existing non-compete clauses. The Commission estimates that the proposed rule would increase American workers’ earnings between $250 billion and $296 billion per year. The Commission is asking for the public’s opinion on its proposal to declare that non-compete clauses are an unfair method of competition, and on the possible alternatives to this rule that the Commission has proposed.</w:t>
      </w:r>
      <w:r>
        <w:rPr>
          <w:rFonts w:ascii="Calibri" w:eastAsia="Calibri" w:hAnsi="Calibri" w:cs="Times New Roman"/>
        </w:rPr>
        <w:t xml:space="preserve"> </w:t>
      </w:r>
      <w:r w:rsidR="003E6EE3" w:rsidRPr="003E6EE3">
        <w:rPr>
          <w:rFonts w:ascii="Calibri" w:eastAsia="Calibri" w:hAnsi="Calibri" w:cs="Times New Roman"/>
          <w:b/>
          <w:bCs/>
        </w:rPr>
        <w:t>The comment period is open through Mar 10, 2023.</w:t>
      </w:r>
    </w:p>
    <w:p w14:paraId="22DDA5F9" w14:textId="2C350D36" w:rsidR="004638BE" w:rsidRDefault="004638BE" w:rsidP="00C96525">
      <w:pPr>
        <w:spacing w:after="0" w:line="240" w:lineRule="auto"/>
        <w:rPr>
          <w:rFonts w:ascii="Calibri" w:eastAsia="Calibri" w:hAnsi="Calibri" w:cs="Times New Roman"/>
          <w:b/>
          <w:bCs/>
        </w:rPr>
      </w:pPr>
    </w:p>
    <w:p w14:paraId="0A489C99" w14:textId="0F408DED" w:rsidR="004638BE" w:rsidRPr="004638BE" w:rsidRDefault="004638BE" w:rsidP="00C96525">
      <w:pPr>
        <w:spacing w:after="0" w:line="240" w:lineRule="auto"/>
        <w:rPr>
          <w:rFonts w:ascii="Calibri" w:eastAsia="Calibri" w:hAnsi="Calibri" w:cs="Times New Roman"/>
        </w:rPr>
      </w:pPr>
      <w:r w:rsidRPr="004638BE">
        <w:rPr>
          <w:rFonts w:ascii="Calibri" w:eastAsia="Calibri" w:hAnsi="Calibri" w:cs="Times New Roman"/>
          <w:b/>
          <w:bCs/>
        </w:rPr>
        <w:t>02.01.2023</w:t>
      </w:r>
      <w:r w:rsidRPr="004638BE">
        <w:rPr>
          <w:rFonts w:ascii="Calibri" w:eastAsia="Calibri" w:hAnsi="Calibri" w:cs="Times New Roman"/>
        </w:rPr>
        <w:t xml:space="preserve"> </w:t>
      </w:r>
      <w:hyperlink r:id="rId20" w:history="1">
        <w:r w:rsidRPr="004638BE">
          <w:rPr>
            <w:rStyle w:val="Hyperlink"/>
            <w:rFonts w:ascii="Calibri" w:eastAsia="Calibri" w:hAnsi="Calibri" w:cs="Times New Roman"/>
          </w:rPr>
          <w:t>CFPB Credit Card Penalty Fees</w:t>
        </w:r>
      </w:hyperlink>
      <w:r w:rsidRPr="004638BE">
        <w:rPr>
          <w:rFonts w:ascii="Calibri" w:eastAsia="Calibri" w:hAnsi="Calibri" w:cs="Times New Roman"/>
        </w:rPr>
        <w:t xml:space="preserve"> (Regulation Z)</w:t>
      </w:r>
      <w:r>
        <w:rPr>
          <w:rFonts w:ascii="Calibri" w:eastAsia="Calibri" w:hAnsi="Calibri" w:cs="Times New Roman"/>
        </w:rPr>
        <w:t xml:space="preserve"> </w:t>
      </w:r>
      <w:r w:rsidRPr="004638BE">
        <w:rPr>
          <w:rFonts w:ascii="Calibri" w:eastAsia="Calibri" w:hAnsi="Calibri" w:cs="Times New Roman"/>
        </w:rPr>
        <w:t xml:space="preserve">The Consumer Financial Protection Bureau (Bureau) proposes to amend Regulation Z, which implements the Truth in Lending Act (TILA), to better </w:t>
      </w:r>
      <w:r w:rsidRPr="004638BE">
        <w:rPr>
          <w:rFonts w:ascii="Calibri" w:eastAsia="Calibri" w:hAnsi="Calibri" w:cs="Times New Roman"/>
        </w:rPr>
        <w:lastRenderedPageBreak/>
        <w:t>ensure that the late fees charged on credit card accounts are “reasonable and proportional” to the late payment as required under TILA.  The proposal would (1) adjust the safe harbor dollar amount for late fees to $8 and eliminate a higher safe harbor dollar amount for late fees for subsequent violations of the same type; (2) provide that the current provision that provides for annual inflation adjustments for the safe harbor dollar amounts would not apply to the late fee safe harbor amount; and (3) provide that late fee amounts must not exceed 25 percent of the required payment.</w:t>
      </w:r>
      <w:r w:rsidRPr="004638BE">
        <w:t xml:space="preserve"> </w:t>
      </w:r>
      <w:r>
        <w:t xml:space="preserve"> </w:t>
      </w:r>
      <w:r w:rsidRPr="004638BE">
        <w:rPr>
          <w:rFonts w:ascii="Calibri" w:eastAsia="Calibri" w:hAnsi="Calibri" w:cs="Times New Roman"/>
          <w:b/>
          <w:bCs/>
        </w:rPr>
        <w:t>DATES:  Comments should be received on or before April 3, 2023, or 30 DAYS AFTER DATE OF PUBLICATION IN THE FEDERAL REGISTER, whichever is later.</w:t>
      </w:r>
    </w:p>
    <w:sectPr w:rsidR="004638BE" w:rsidRPr="004638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9520" w14:textId="77777777" w:rsidR="00A66B22" w:rsidRDefault="00A66B22" w:rsidP="00AB76E8">
      <w:pPr>
        <w:spacing w:after="0" w:line="240" w:lineRule="auto"/>
      </w:pPr>
      <w:r>
        <w:separator/>
      </w:r>
    </w:p>
  </w:endnote>
  <w:endnote w:type="continuationSeparator" w:id="0">
    <w:p w14:paraId="7C294C4F" w14:textId="77777777" w:rsidR="00A66B22" w:rsidRDefault="00A66B22" w:rsidP="00AB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C2B0" w14:textId="77777777" w:rsidR="00A66B22" w:rsidRDefault="00A66B22" w:rsidP="00AB76E8">
      <w:pPr>
        <w:spacing w:after="0" w:line="240" w:lineRule="auto"/>
      </w:pPr>
      <w:r>
        <w:separator/>
      </w:r>
    </w:p>
  </w:footnote>
  <w:footnote w:type="continuationSeparator" w:id="0">
    <w:p w14:paraId="7D7A974E" w14:textId="77777777" w:rsidR="00A66B22" w:rsidRDefault="00A66B22" w:rsidP="00AB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CCFD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33B73"/>
    <w:multiLevelType w:val="multilevel"/>
    <w:tmpl w:val="C58E7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F1690"/>
    <w:multiLevelType w:val="hybridMultilevel"/>
    <w:tmpl w:val="7CCC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606DE"/>
    <w:multiLevelType w:val="hybridMultilevel"/>
    <w:tmpl w:val="2F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51227"/>
    <w:multiLevelType w:val="hybridMultilevel"/>
    <w:tmpl w:val="1C74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A36EC"/>
    <w:multiLevelType w:val="multilevel"/>
    <w:tmpl w:val="4FA03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5D6201"/>
    <w:multiLevelType w:val="hybridMultilevel"/>
    <w:tmpl w:val="343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E6A16"/>
    <w:multiLevelType w:val="hybridMultilevel"/>
    <w:tmpl w:val="497E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863609">
    <w:abstractNumId w:val="0"/>
  </w:num>
  <w:num w:numId="2" w16cid:durableId="851601350">
    <w:abstractNumId w:val="5"/>
  </w:num>
  <w:num w:numId="3" w16cid:durableId="600530750">
    <w:abstractNumId w:val="1"/>
  </w:num>
  <w:num w:numId="4" w16cid:durableId="1004165304">
    <w:abstractNumId w:val="3"/>
  </w:num>
  <w:num w:numId="5" w16cid:durableId="1554538652">
    <w:abstractNumId w:val="2"/>
  </w:num>
  <w:num w:numId="6" w16cid:durableId="1229925621">
    <w:abstractNumId w:val="7"/>
  </w:num>
  <w:num w:numId="7" w16cid:durableId="1403600996">
    <w:abstractNumId w:val="6"/>
  </w:num>
  <w:num w:numId="8" w16cid:durableId="77498339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8F"/>
    <w:rsid w:val="000015D0"/>
    <w:rsid w:val="000016A6"/>
    <w:rsid w:val="000021BD"/>
    <w:rsid w:val="0000246C"/>
    <w:rsid w:val="00002476"/>
    <w:rsid w:val="00002D2E"/>
    <w:rsid w:val="00003468"/>
    <w:rsid w:val="00003B24"/>
    <w:rsid w:val="00004036"/>
    <w:rsid w:val="00004934"/>
    <w:rsid w:val="000056DE"/>
    <w:rsid w:val="000066DE"/>
    <w:rsid w:val="00006F06"/>
    <w:rsid w:val="00007200"/>
    <w:rsid w:val="00007859"/>
    <w:rsid w:val="00011E1B"/>
    <w:rsid w:val="00012313"/>
    <w:rsid w:val="00012DC3"/>
    <w:rsid w:val="000134BC"/>
    <w:rsid w:val="000165E0"/>
    <w:rsid w:val="000176ED"/>
    <w:rsid w:val="00017DF1"/>
    <w:rsid w:val="00023FC2"/>
    <w:rsid w:val="000241AE"/>
    <w:rsid w:val="00027E93"/>
    <w:rsid w:val="00030336"/>
    <w:rsid w:val="000303C4"/>
    <w:rsid w:val="00031449"/>
    <w:rsid w:val="0003519C"/>
    <w:rsid w:val="00037F6E"/>
    <w:rsid w:val="0004072D"/>
    <w:rsid w:val="00040A32"/>
    <w:rsid w:val="00040E46"/>
    <w:rsid w:val="0004171F"/>
    <w:rsid w:val="0004292A"/>
    <w:rsid w:val="00042946"/>
    <w:rsid w:val="00042948"/>
    <w:rsid w:val="0004542F"/>
    <w:rsid w:val="000459BB"/>
    <w:rsid w:val="00046C60"/>
    <w:rsid w:val="000506E4"/>
    <w:rsid w:val="0005096D"/>
    <w:rsid w:val="00052357"/>
    <w:rsid w:val="00053F03"/>
    <w:rsid w:val="000543B8"/>
    <w:rsid w:val="00055210"/>
    <w:rsid w:val="00055C21"/>
    <w:rsid w:val="00055D07"/>
    <w:rsid w:val="0005633C"/>
    <w:rsid w:val="0006053E"/>
    <w:rsid w:val="00060C72"/>
    <w:rsid w:val="00063F9D"/>
    <w:rsid w:val="00064407"/>
    <w:rsid w:val="0006527D"/>
    <w:rsid w:val="000657AF"/>
    <w:rsid w:val="00071639"/>
    <w:rsid w:val="0007261C"/>
    <w:rsid w:val="000729B4"/>
    <w:rsid w:val="0007380C"/>
    <w:rsid w:val="00073C70"/>
    <w:rsid w:val="00074091"/>
    <w:rsid w:val="0007540E"/>
    <w:rsid w:val="00077C4C"/>
    <w:rsid w:val="00077EA8"/>
    <w:rsid w:val="00080B48"/>
    <w:rsid w:val="000829A5"/>
    <w:rsid w:val="00082D5C"/>
    <w:rsid w:val="0008372F"/>
    <w:rsid w:val="0008377A"/>
    <w:rsid w:val="000839C5"/>
    <w:rsid w:val="00084AB0"/>
    <w:rsid w:val="00084E78"/>
    <w:rsid w:val="0008583F"/>
    <w:rsid w:val="000860B5"/>
    <w:rsid w:val="00086E51"/>
    <w:rsid w:val="000875E2"/>
    <w:rsid w:val="00087B7E"/>
    <w:rsid w:val="00087E83"/>
    <w:rsid w:val="00090AE1"/>
    <w:rsid w:val="00091EE7"/>
    <w:rsid w:val="000927FD"/>
    <w:rsid w:val="00092837"/>
    <w:rsid w:val="00092F17"/>
    <w:rsid w:val="00093D86"/>
    <w:rsid w:val="00094EE1"/>
    <w:rsid w:val="00095BCE"/>
    <w:rsid w:val="00097CBC"/>
    <w:rsid w:val="000A0F22"/>
    <w:rsid w:val="000A149C"/>
    <w:rsid w:val="000A2219"/>
    <w:rsid w:val="000A2BC4"/>
    <w:rsid w:val="000A43C2"/>
    <w:rsid w:val="000A64FC"/>
    <w:rsid w:val="000A6A4A"/>
    <w:rsid w:val="000A6EB7"/>
    <w:rsid w:val="000A751E"/>
    <w:rsid w:val="000A7708"/>
    <w:rsid w:val="000B0B8F"/>
    <w:rsid w:val="000B1151"/>
    <w:rsid w:val="000B13F2"/>
    <w:rsid w:val="000B1F54"/>
    <w:rsid w:val="000B1F6F"/>
    <w:rsid w:val="000B2559"/>
    <w:rsid w:val="000B25B6"/>
    <w:rsid w:val="000B3503"/>
    <w:rsid w:val="000B37AA"/>
    <w:rsid w:val="000B3DA3"/>
    <w:rsid w:val="000B55DF"/>
    <w:rsid w:val="000B72EF"/>
    <w:rsid w:val="000B7430"/>
    <w:rsid w:val="000B7D60"/>
    <w:rsid w:val="000C0084"/>
    <w:rsid w:val="000C0540"/>
    <w:rsid w:val="000C101D"/>
    <w:rsid w:val="000C165A"/>
    <w:rsid w:val="000C258A"/>
    <w:rsid w:val="000C2AF2"/>
    <w:rsid w:val="000C565B"/>
    <w:rsid w:val="000C5CD9"/>
    <w:rsid w:val="000C5D22"/>
    <w:rsid w:val="000C641F"/>
    <w:rsid w:val="000D0795"/>
    <w:rsid w:val="000D0E09"/>
    <w:rsid w:val="000D1FC3"/>
    <w:rsid w:val="000D2BF4"/>
    <w:rsid w:val="000D2C44"/>
    <w:rsid w:val="000D3AF3"/>
    <w:rsid w:val="000D48CC"/>
    <w:rsid w:val="000D4DCA"/>
    <w:rsid w:val="000D6337"/>
    <w:rsid w:val="000D7338"/>
    <w:rsid w:val="000D7480"/>
    <w:rsid w:val="000D77ED"/>
    <w:rsid w:val="000D7D18"/>
    <w:rsid w:val="000E06EE"/>
    <w:rsid w:val="000E08F1"/>
    <w:rsid w:val="000E1417"/>
    <w:rsid w:val="000E1F65"/>
    <w:rsid w:val="000E3A44"/>
    <w:rsid w:val="000E3AB8"/>
    <w:rsid w:val="000E5C69"/>
    <w:rsid w:val="000E5FC6"/>
    <w:rsid w:val="000E63A1"/>
    <w:rsid w:val="000F2448"/>
    <w:rsid w:val="000F2639"/>
    <w:rsid w:val="000F2AC7"/>
    <w:rsid w:val="000F32A8"/>
    <w:rsid w:val="000F3749"/>
    <w:rsid w:val="000F3A65"/>
    <w:rsid w:val="000F4453"/>
    <w:rsid w:val="000F527B"/>
    <w:rsid w:val="000F603B"/>
    <w:rsid w:val="000F627B"/>
    <w:rsid w:val="000F6EFE"/>
    <w:rsid w:val="000F6FDF"/>
    <w:rsid w:val="00100660"/>
    <w:rsid w:val="0010196E"/>
    <w:rsid w:val="00101D7C"/>
    <w:rsid w:val="00101E10"/>
    <w:rsid w:val="00102CBA"/>
    <w:rsid w:val="00102F50"/>
    <w:rsid w:val="00102F74"/>
    <w:rsid w:val="00103047"/>
    <w:rsid w:val="001034DC"/>
    <w:rsid w:val="00104298"/>
    <w:rsid w:val="0010456C"/>
    <w:rsid w:val="00104F1C"/>
    <w:rsid w:val="001054F0"/>
    <w:rsid w:val="00110CB3"/>
    <w:rsid w:val="00111C77"/>
    <w:rsid w:val="00112237"/>
    <w:rsid w:val="00112ADB"/>
    <w:rsid w:val="00114413"/>
    <w:rsid w:val="0011445C"/>
    <w:rsid w:val="00114911"/>
    <w:rsid w:val="001154FD"/>
    <w:rsid w:val="00115F36"/>
    <w:rsid w:val="00120FCB"/>
    <w:rsid w:val="00123B9D"/>
    <w:rsid w:val="00124A24"/>
    <w:rsid w:val="00124C70"/>
    <w:rsid w:val="0012665F"/>
    <w:rsid w:val="00126CDA"/>
    <w:rsid w:val="00130838"/>
    <w:rsid w:val="001309D2"/>
    <w:rsid w:val="00131306"/>
    <w:rsid w:val="00131E42"/>
    <w:rsid w:val="0013476D"/>
    <w:rsid w:val="00135D7E"/>
    <w:rsid w:val="00135EA0"/>
    <w:rsid w:val="0013607D"/>
    <w:rsid w:val="00136092"/>
    <w:rsid w:val="0013614E"/>
    <w:rsid w:val="0013713F"/>
    <w:rsid w:val="00137419"/>
    <w:rsid w:val="00140F3B"/>
    <w:rsid w:val="00141D02"/>
    <w:rsid w:val="00141D70"/>
    <w:rsid w:val="00142500"/>
    <w:rsid w:val="001426AE"/>
    <w:rsid w:val="001437AC"/>
    <w:rsid w:val="00143AA9"/>
    <w:rsid w:val="00143E97"/>
    <w:rsid w:val="00144AEB"/>
    <w:rsid w:val="0014564A"/>
    <w:rsid w:val="001462DF"/>
    <w:rsid w:val="00147358"/>
    <w:rsid w:val="001474E4"/>
    <w:rsid w:val="00147FC4"/>
    <w:rsid w:val="00151FB2"/>
    <w:rsid w:val="001520D7"/>
    <w:rsid w:val="001532F2"/>
    <w:rsid w:val="00154B32"/>
    <w:rsid w:val="00155556"/>
    <w:rsid w:val="0015612E"/>
    <w:rsid w:val="001561BB"/>
    <w:rsid w:val="00156AB8"/>
    <w:rsid w:val="00160EAA"/>
    <w:rsid w:val="00161077"/>
    <w:rsid w:val="00164786"/>
    <w:rsid w:val="00164D16"/>
    <w:rsid w:val="00164F9C"/>
    <w:rsid w:val="00165635"/>
    <w:rsid w:val="0016568C"/>
    <w:rsid w:val="001664B8"/>
    <w:rsid w:val="00167337"/>
    <w:rsid w:val="0017007A"/>
    <w:rsid w:val="001717B4"/>
    <w:rsid w:val="00171835"/>
    <w:rsid w:val="00173B85"/>
    <w:rsid w:val="00173E73"/>
    <w:rsid w:val="00174819"/>
    <w:rsid w:val="00174BBD"/>
    <w:rsid w:val="00174FC1"/>
    <w:rsid w:val="00175495"/>
    <w:rsid w:val="0017586C"/>
    <w:rsid w:val="00175BE7"/>
    <w:rsid w:val="00176259"/>
    <w:rsid w:val="00176684"/>
    <w:rsid w:val="0017706F"/>
    <w:rsid w:val="0017773B"/>
    <w:rsid w:val="00177C7E"/>
    <w:rsid w:val="00181FA9"/>
    <w:rsid w:val="0018245F"/>
    <w:rsid w:val="0018290F"/>
    <w:rsid w:val="00182A84"/>
    <w:rsid w:val="00182C23"/>
    <w:rsid w:val="00183DF1"/>
    <w:rsid w:val="00185EE3"/>
    <w:rsid w:val="00185F7F"/>
    <w:rsid w:val="0018662E"/>
    <w:rsid w:val="00187885"/>
    <w:rsid w:val="00187BE0"/>
    <w:rsid w:val="0019124C"/>
    <w:rsid w:val="0019152D"/>
    <w:rsid w:val="0019160D"/>
    <w:rsid w:val="00193024"/>
    <w:rsid w:val="00193060"/>
    <w:rsid w:val="00193751"/>
    <w:rsid w:val="00193937"/>
    <w:rsid w:val="00194461"/>
    <w:rsid w:val="00196540"/>
    <w:rsid w:val="00196808"/>
    <w:rsid w:val="00196896"/>
    <w:rsid w:val="00196AB1"/>
    <w:rsid w:val="001975A9"/>
    <w:rsid w:val="00197CDE"/>
    <w:rsid w:val="001A082B"/>
    <w:rsid w:val="001A0B0C"/>
    <w:rsid w:val="001A109A"/>
    <w:rsid w:val="001A155F"/>
    <w:rsid w:val="001A1C4A"/>
    <w:rsid w:val="001A3E69"/>
    <w:rsid w:val="001A6499"/>
    <w:rsid w:val="001A65ED"/>
    <w:rsid w:val="001A6DA8"/>
    <w:rsid w:val="001B052B"/>
    <w:rsid w:val="001B0576"/>
    <w:rsid w:val="001B1AEF"/>
    <w:rsid w:val="001B1E30"/>
    <w:rsid w:val="001B58BF"/>
    <w:rsid w:val="001B6048"/>
    <w:rsid w:val="001B7A8B"/>
    <w:rsid w:val="001C168B"/>
    <w:rsid w:val="001C1AFD"/>
    <w:rsid w:val="001C2B67"/>
    <w:rsid w:val="001C41C8"/>
    <w:rsid w:val="001C5D4B"/>
    <w:rsid w:val="001C6318"/>
    <w:rsid w:val="001C7068"/>
    <w:rsid w:val="001D1271"/>
    <w:rsid w:val="001D1BBC"/>
    <w:rsid w:val="001D2DF0"/>
    <w:rsid w:val="001D2E7A"/>
    <w:rsid w:val="001D37E3"/>
    <w:rsid w:val="001D3863"/>
    <w:rsid w:val="001D488F"/>
    <w:rsid w:val="001D5482"/>
    <w:rsid w:val="001D5646"/>
    <w:rsid w:val="001D6D08"/>
    <w:rsid w:val="001E0B8E"/>
    <w:rsid w:val="001E10BF"/>
    <w:rsid w:val="001E14F9"/>
    <w:rsid w:val="001E232D"/>
    <w:rsid w:val="001E26AB"/>
    <w:rsid w:val="001E28D8"/>
    <w:rsid w:val="001E2B98"/>
    <w:rsid w:val="001E4438"/>
    <w:rsid w:val="001E5149"/>
    <w:rsid w:val="001E51B9"/>
    <w:rsid w:val="001E5831"/>
    <w:rsid w:val="001E5D0F"/>
    <w:rsid w:val="001E5E93"/>
    <w:rsid w:val="001E6667"/>
    <w:rsid w:val="001E671F"/>
    <w:rsid w:val="001E6E26"/>
    <w:rsid w:val="001E7310"/>
    <w:rsid w:val="001F1233"/>
    <w:rsid w:val="001F1458"/>
    <w:rsid w:val="001F1FB1"/>
    <w:rsid w:val="001F2C79"/>
    <w:rsid w:val="001F314D"/>
    <w:rsid w:val="001F38DA"/>
    <w:rsid w:val="001F4145"/>
    <w:rsid w:val="001F437E"/>
    <w:rsid w:val="001F4CB2"/>
    <w:rsid w:val="001F4E8C"/>
    <w:rsid w:val="001F5905"/>
    <w:rsid w:val="001F6625"/>
    <w:rsid w:val="001F676D"/>
    <w:rsid w:val="001F67D9"/>
    <w:rsid w:val="001F773B"/>
    <w:rsid w:val="0020039C"/>
    <w:rsid w:val="00201056"/>
    <w:rsid w:val="002042AE"/>
    <w:rsid w:val="002047DB"/>
    <w:rsid w:val="00204DDF"/>
    <w:rsid w:val="0020545B"/>
    <w:rsid w:val="00206960"/>
    <w:rsid w:val="00206B36"/>
    <w:rsid w:val="00207039"/>
    <w:rsid w:val="002078B2"/>
    <w:rsid w:val="002100D9"/>
    <w:rsid w:val="00211348"/>
    <w:rsid w:val="00211AFD"/>
    <w:rsid w:val="00212994"/>
    <w:rsid w:val="00213FAB"/>
    <w:rsid w:val="00214133"/>
    <w:rsid w:val="00214B26"/>
    <w:rsid w:val="00215900"/>
    <w:rsid w:val="00220272"/>
    <w:rsid w:val="00221D22"/>
    <w:rsid w:val="00222A5D"/>
    <w:rsid w:val="002247F1"/>
    <w:rsid w:val="002251A9"/>
    <w:rsid w:val="00226226"/>
    <w:rsid w:val="002271C3"/>
    <w:rsid w:val="0023214C"/>
    <w:rsid w:val="0023279E"/>
    <w:rsid w:val="0023364A"/>
    <w:rsid w:val="00233CB2"/>
    <w:rsid w:val="002347CA"/>
    <w:rsid w:val="00235E45"/>
    <w:rsid w:val="00235F82"/>
    <w:rsid w:val="002377E0"/>
    <w:rsid w:val="002401DA"/>
    <w:rsid w:val="00240C55"/>
    <w:rsid w:val="00240E88"/>
    <w:rsid w:val="0024252B"/>
    <w:rsid w:val="002426AE"/>
    <w:rsid w:val="002427FB"/>
    <w:rsid w:val="00242F01"/>
    <w:rsid w:val="00243F04"/>
    <w:rsid w:val="00244385"/>
    <w:rsid w:val="00245AA7"/>
    <w:rsid w:val="00250A64"/>
    <w:rsid w:val="00251FCA"/>
    <w:rsid w:val="00252255"/>
    <w:rsid w:val="00252511"/>
    <w:rsid w:val="002529F2"/>
    <w:rsid w:val="00252E1A"/>
    <w:rsid w:val="00253248"/>
    <w:rsid w:val="00253A0E"/>
    <w:rsid w:val="00255792"/>
    <w:rsid w:val="00257F60"/>
    <w:rsid w:val="00260542"/>
    <w:rsid w:val="00262CF6"/>
    <w:rsid w:val="00263008"/>
    <w:rsid w:val="00263982"/>
    <w:rsid w:val="002643F2"/>
    <w:rsid w:val="002647D4"/>
    <w:rsid w:val="0026496A"/>
    <w:rsid w:val="00265169"/>
    <w:rsid w:val="00266285"/>
    <w:rsid w:val="002666BA"/>
    <w:rsid w:val="002676FB"/>
    <w:rsid w:val="00270604"/>
    <w:rsid w:val="00270680"/>
    <w:rsid w:val="002717F1"/>
    <w:rsid w:val="00273281"/>
    <w:rsid w:val="002759C4"/>
    <w:rsid w:val="00275B21"/>
    <w:rsid w:val="00276E33"/>
    <w:rsid w:val="00277784"/>
    <w:rsid w:val="00281561"/>
    <w:rsid w:val="00282634"/>
    <w:rsid w:val="0028307B"/>
    <w:rsid w:val="00283365"/>
    <w:rsid w:val="002833EB"/>
    <w:rsid w:val="002836C9"/>
    <w:rsid w:val="002849A2"/>
    <w:rsid w:val="00286FB7"/>
    <w:rsid w:val="00291837"/>
    <w:rsid w:val="00291C3E"/>
    <w:rsid w:val="002928E8"/>
    <w:rsid w:val="0029389E"/>
    <w:rsid w:val="00293C22"/>
    <w:rsid w:val="00294A3E"/>
    <w:rsid w:val="00294AF6"/>
    <w:rsid w:val="00295622"/>
    <w:rsid w:val="00295974"/>
    <w:rsid w:val="00295E63"/>
    <w:rsid w:val="00296204"/>
    <w:rsid w:val="00297468"/>
    <w:rsid w:val="00297CD3"/>
    <w:rsid w:val="002A0EDB"/>
    <w:rsid w:val="002A189C"/>
    <w:rsid w:val="002A3E08"/>
    <w:rsid w:val="002A42AC"/>
    <w:rsid w:val="002A4720"/>
    <w:rsid w:val="002A573A"/>
    <w:rsid w:val="002A5BB3"/>
    <w:rsid w:val="002A7CB7"/>
    <w:rsid w:val="002B1659"/>
    <w:rsid w:val="002B228A"/>
    <w:rsid w:val="002B23ED"/>
    <w:rsid w:val="002B28EB"/>
    <w:rsid w:val="002B41C9"/>
    <w:rsid w:val="002B4364"/>
    <w:rsid w:val="002B494B"/>
    <w:rsid w:val="002B4A9D"/>
    <w:rsid w:val="002B5BAE"/>
    <w:rsid w:val="002B5C03"/>
    <w:rsid w:val="002B5E0F"/>
    <w:rsid w:val="002B7320"/>
    <w:rsid w:val="002C1D3B"/>
    <w:rsid w:val="002C1DC1"/>
    <w:rsid w:val="002C220B"/>
    <w:rsid w:val="002C37CF"/>
    <w:rsid w:val="002C5CE6"/>
    <w:rsid w:val="002C5FA0"/>
    <w:rsid w:val="002C604A"/>
    <w:rsid w:val="002C60C8"/>
    <w:rsid w:val="002D11A9"/>
    <w:rsid w:val="002D1D8F"/>
    <w:rsid w:val="002D2079"/>
    <w:rsid w:val="002D2FB1"/>
    <w:rsid w:val="002D375E"/>
    <w:rsid w:val="002D406F"/>
    <w:rsid w:val="002D4CC5"/>
    <w:rsid w:val="002D568D"/>
    <w:rsid w:val="002D5B82"/>
    <w:rsid w:val="002D5F94"/>
    <w:rsid w:val="002D73C7"/>
    <w:rsid w:val="002D7E27"/>
    <w:rsid w:val="002E0D22"/>
    <w:rsid w:val="002E0FF0"/>
    <w:rsid w:val="002E153C"/>
    <w:rsid w:val="002E4B49"/>
    <w:rsid w:val="002E6697"/>
    <w:rsid w:val="002E732E"/>
    <w:rsid w:val="002E7E77"/>
    <w:rsid w:val="002F20C0"/>
    <w:rsid w:val="002F2443"/>
    <w:rsid w:val="002F3EE2"/>
    <w:rsid w:val="002F3FFA"/>
    <w:rsid w:val="002F425D"/>
    <w:rsid w:val="002F5427"/>
    <w:rsid w:val="002F55BC"/>
    <w:rsid w:val="003004A4"/>
    <w:rsid w:val="003008A0"/>
    <w:rsid w:val="00300CE7"/>
    <w:rsid w:val="00301388"/>
    <w:rsid w:val="0030170F"/>
    <w:rsid w:val="00301D47"/>
    <w:rsid w:val="00302256"/>
    <w:rsid w:val="003030CD"/>
    <w:rsid w:val="0030342B"/>
    <w:rsid w:val="00304E4D"/>
    <w:rsid w:val="00306225"/>
    <w:rsid w:val="00313783"/>
    <w:rsid w:val="00314B88"/>
    <w:rsid w:val="0031700F"/>
    <w:rsid w:val="00317AEF"/>
    <w:rsid w:val="003206C3"/>
    <w:rsid w:val="003207D2"/>
    <w:rsid w:val="00320A6D"/>
    <w:rsid w:val="00320DB7"/>
    <w:rsid w:val="00321346"/>
    <w:rsid w:val="00321FD9"/>
    <w:rsid w:val="00324EF3"/>
    <w:rsid w:val="003258D9"/>
    <w:rsid w:val="00325E46"/>
    <w:rsid w:val="0032610A"/>
    <w:rsid w:val="0032650E"/>
    <w:rsid w:val="00326BE1"/>
    <w:rsid w:val="0033100C"/>
    <w:rsid w:val="00332FE1"/>
    <w:rsid w:val="003330BD"/>
    <w:rsid w:val="00334A58"/>
    <w:rsid w:val="00335317"/>
    <w:rsid w:val="00335522"/>
    <w:rsid w:val="003362E3"/>
    <w:rsid w:val="003369CA"/>
    <w:rsid w:val="00340659"/>
    <w:rsid w:val="00340F71"/>
    <w:rsid w:val="0034369F"/>
    <w:rsid w:val="00345562"/>
    <w:rsid w:val="00346DAC"/>
    <w:rsid w:val="003471FD"/>
    <w:rsid w:val="00347356"/>
    <w:rsid w:val="003476D4"/>
    <w:rsid w:val="003503E7"/>
    <w:rsid w:val="00350BB9"/>
    <w:rsid w:val="00355BA8"/>
    <w:rsid w:val="00356E81"/>
    <w:rsid w:val="0035737A"/>
    <w:rsid w:val="0036098B"/>
    <w:rsid w:val="00360ED5"/>
    <w:rsid w:val="0036142F"/>
    <w:rsid w:val="00361CD4"/>
    <w:rsid w:val="00362447"/>
    <w:rsid w:val="00365242"/>
    <w:rsid w:val="0036554A"/>
    <w:rsid w:val="003669EB"/>
    <w:rsid w:val="00366D9B"/>
    <w:rsid w:val="00367994"/>
    <w:rsid w:val="0037269D"/>
    <w:rsid w:val="00372BC1"/>
    <w:rsid w:val="00373A48"/>
    <w:rsid w:val="00373F16"/>
    <w:rsid w:val="00374839"/>
    <w:rsid w:val="00375495"/>
    <w:rsid w:val="003755FA"/>
    <w:rsid w:val="0037581E"/>
    <w:rsid w:val="00375F87"/>
    <w:rsid w:val="003763C6"/>
    <w:rsid w:val="00380839"/>
    <w:rsid w:val="00381B8C"/>
    <w:rsid w:val="003825EE"/>
    <w:rsid w:val="00383356"/>
    <w:rsid w:val="003835A4"/>
    <w:rsid w:val="00383973"/>
    <w:rsid w:val="00384159"/>
    <w:rsid w:val="003844CD"/>
    <w:rsid w:val="00384AF2"/>
    <w:rsid w:val="003855A0"/>
    <w:rsid w:val="003856BD"/>
    <w:rsid w:val="00390138"/>
    <w:rsid w:val="003904FF"/>
    <w:rsid w:val="003906F6"/>
    <w:rsid w:val="00390D37"/>
    <w:rsid w:val="003925A3"/>
    <w:rsid w:val="00392F5E"/>
    <w:rsid w:val="00396253"/>
    <w:rsid w:val="00396628"/>
    <w:rsid w:val="0039666D"/>
    <w:rsid w:val="003A0EF7"/>
    <w:rsid w:val="003A1794"/>
    <w:rsid w:val="003A1DFD"/>
    <w:rsid w:val="003A3A27"/>
    <w:rsid w:val="003A4408"/>
    <w:rsid w:val="003A4BB6"/>
    <w:rsid w:val="003A5F3D"/>
    <w:rsid w:val="003B23CF"/>
    <w:rsid w:val="003B2581"/>
    <w:rsid w:val="003B277B"/>
    <w:rsid w:val="003B278F"/>
    <w:rsid w:val="003B3447"/>
    <w:rsid w:val="003B4355"/>
    <w:rsid w:val="003B7061"/>
    <w:rsid w:val="003B7A4A"/>
    <w:rsid w:val="003C05F9"/>
    <w:rsid w:val="003C0AFA"/>
    <w:rsid w:val="003C0BDA"/>
    <w:rsid w:val="003C0F23"/>
    <w:rsid w:val="003C45A9"/>
    <w:rsid w:val="003C5160"/>
    <w:rsid w:val="003C5691"/>
    <w:rsid w:val="003C582F"/>
    <w:rsid w:val="003C6161"/>
    <w:rsid w:val="003C63AB"/>
    <w:rsid w:val="003C774D"/>
    <w:rsid w:val="003C7B73"/>
    <w:rsid w:val="003D0876"/>
    <w:rsid w:val="003D171F"/>
    <w:rsid w:val="003D1FE0"/>
    <w:rsid w:val="003D2037"/>
    <w:rsid w:val="003D2BCE"/>
    <w:rsid w:val="003D3806"/>
    <w:rsid w:val="003D4E1B"/>
    <w:rsid w:val="003D5CDE"/>
    <w:rsid w:val="003D5F61"/>
    <w:rsid w:val="003D614B"/>
    <w:rsid w:val="003D78CC"/>
    <w:rsid w:val="003E067E"/>
    <w:rsid w:val="003E0B27"/>
    <w:rsid w:val="003E0E23"/>
    <w:rsid w:val="003E0E98"/>
    <w:rsid w:val="003E20F3"/>
    <w:rsid w:val="003E345E"/>
    <w:rsid w:val="003E55E9"/>
    <w:rsid w:val="003E6AF1"/>
    <w:rsid w:val="003E6EE3"/>
    <w:rsid w:val="003E7FD8"/>
    <w:rsid w:val="003F0C92"/>
    <w:rsid w:val="003F1472"/>
    <w:rsid w:val="003F14CF"/>
    <w:rsid w:val="003F30E7"/>
    <w:rsid w:val="003F31F8"/>
    <w:rsid w:val="003F37C4"/>
    <w:rsid w:val="003F6857"/>
    <w:rsid w:val="003F7666"/>
    <w:rsid w:val="004006C8"/>
    <w:rsid w:val="00400D48"/>
    <w:rsid w:val="004011C4"/>
    <w:rsid w:val="00402CD3"/>
    <w:rsid w:val="00403995"/>
    <w:rsid w:val="00403F6C"/>
    <w:rsid w:val="00405510"/>
    <w:rsid w:val="00405C20"/>
    <w:rsid w:val="00406B82"/>
    <w:rsid w:val="004117CC"/>
    <w:rsid w:val="004117E7"/>
    <w:rsid w:val="00411E05"/>
    <w:rsid w:val="00412C4F"/>
    <w:rsid w:val="00414A6F"/>
    <w:rsid w:val="00415108"/>
    <w:rsid w:val="004153AD"/>
    <w:rsid w:val="00415B77"/>
    <w:rsid w:val="00415BBB"/>
    <w:rsid w:val="00420BB4"/>
    <w:rsid w:val="00422AD9"/>
    <w:rsid w:val="004240C9"/>
    <w:rsid w:val="00424307"/>
    <w:rsid w:val="00424FD8"/>
    <w:rsid w:val="00425143"/>
    <w:rsid w:val="0042667C"/>
    <w:rsid w:val="00426A2B"/>
    <w:rsid w:val="00427025"/>
    <w:rsid w:val="00427CBE"/>
    <w:rsid w:val="004304C3"/>
    <w:rsid w:val="00430B04"/>
    <w:rsid w:val="00430BF2"/>
    <w:rsid w:val="00430D3E"/>
    <w:rsid w:val="004311A5"/>
    <w:rsid w:val="00432CA3"/>
    <w:rsid w:val="00435821"/>
    <w:rsid w:val="00436D28"/>
    <w:rsid w:val="00437149"/>
    <w:rsid w:val="0043796F"/>
    <w:rsid w:val="00437CB4"/>
    <w:rsid w:val="00441F33"/>
    <w:rsid w:val="00443606"/>
    <w:rsid w:val="00444154"/>
    <w:rsid w:val="00444341"/>
    <w:rsid w:val="00444363"/>
    <w:rsid w:val="00445F24"/>
    <w:rsid w:val="004462B8"/>
    <w:rsid w:val="0045003E"/>
    <w:rsid w:val="004510D1"/>
    <w:rsid w:val="0045195E"/>
    <w:rsid w:val="00451C06"/>
    <w:rsid w:val="00453149"/>
    <w:rsid w:val="0045458D"/>
    <w:rsid w:val="004555D8"/>
    <w:rsid w:val="00457FB7"/>
    <w:rsid w:val="00460214"/>
    <w:rsid w:val="00460FCC"/>
    <w:rsid w:val="00461213"/>
    <w:rsid w:val="004638BE"/>
    <w:rsid w:val="00463A64"/>
    <w:rsid w:val="00465B26"/>
    <w:rsid w:val="004674D6"/>
    <w:rsid w:val="00470F65"/>
    <w:rsid w:val="0047109B"/>
    <w:rsid w:val="004710E0"/>
    <w:rsid w:val="00471A3D"/>
    <w:rsid w:val="00471CE2"/>
    <w:rsid w:val="004745C4"/>
    <w:rsid w:val="0047685E"/>
    <w:rsid w:val="004778F3"/>
    <w:rsid w:val="00477CB7"/>
    <w:rsid w:val="00477E04"/>
    <w:rsid w:val="00481274"/>
    <w:rsid w:val="00481B1D"/>
    <w:rsid w:val="00481DA8"/>
    <w:rsid w:val="0048226E"/>
    <w:rsid w:val="0048326C"/>
    <w:rsid w:val="00483AA2"/>
    <w:rsid w:val="00484875"/>
    <w:rsid w:val="00484A2A"/>
    <w:rsid w:val="00485E1A"/>
    <w:rsid w:val="0048615C"/>
    <w:rsid w:val="00487480"/>
    <w:rsid w:val="0049034F"/>
    <w:rsid w:val="00490926"/>
    <w:rsid w:val="00490E6F"/>
    <w:rsid w:val="0049102B"/>
    <w:rsid w:val="00491836"/>
    <w:rsid w:val="004922AD"/>
    <w:rsid w:val="00494CF2"/>
    <w:rsid w:val="004962DD"/>
    <w:rsid w:val="004963D7"/>
    <w:rsid w:val="00496F82"/>
    <w:rsid w:val="004970D8"/>
    <w:rsid w:val="00497B56"/>
    <w:rsid w:val="004A0DEF"/>
    <w:rsid w:val="004A1F30"/>
    <w:rsid w:val="004A2209"/>
    <w:rsid w:val="004A324A"/>
    <w:rsid w:val="004A3688"/>
    <w:rsid w:val="004A3CCE"/>
    <w:rsid w:val="004A484D"/>
    <w:rsid w:val="004A619F"/>
    <w:rsid w:val="004A67D8"/>
    <w:rsid w:val="004A6D16"/>
    <w:rsid w:val="004A6E03"/>
    <w:rsid w:val="004A7A2E"/>
    <w:rsid w:val="004B04C5"/>
    <w:rsid w:val="004B0624"/>
    <w:rsid w:val="004B2C5B"/>
    <w:rsid w:val="004B374B"/>
    <w:rsid w:val="004B4ADA"/>
    <w:rsid w:val="004B6156"/>
    <w:rsid w:val="004C04B0"/>
    <w:rsid w:val="004C06C9"/>
    <w:rsid w:val="004C0E51"/>
    <w:rsid w:val="004C2809"/>
    <w:rsid w:val="004C40D3"/>
    <w:rsid w:val="004C45C6"/>
    <w:rsid w:val="004C4E3C"/>
    <w:rsid w:val="004C6CBB"/>
    <w:rsid w:val="004C70F7"/>
    <w:rsid w:val="004C77A1"/>
    <w:rsid w:val="004C7B04"/>
    <w:rsid w:val="004C7D81"/>
    <w:rsid w:val="004C7FEE"/>
    <w:rsid w:val="004D0599"/>
    <w:rsid w:val="004D2C3B"/>
    <w:rsid w:val="004D4A0B"/>
    <w:rsid w:val="004D4DD0"/>
    <w:rsid w:val="004E0401"/>
    <w:rsid w:val="004E129C"/>
    <w:rsid w:val="004E174D"/>
    <w:rsid w:val="004E2F4B"/>
    <w:rsid w:val="004E3892"/>
    <w:rsid w:val="004E45F2"/>
    <w:rsid w:val="004E5F55"/>
    <w:rsid w:val="004E6557"/>
    <w:rsid w:val="004E7D8C"/>
    <w:rsid w:val="004E7DB8"/>
    <w:rsid w:val="004F0CB1"/>
    <w:rsid w:val="004F1947"/>
    <w:rsid w:val="004F2AB2"/>
    <w:rsid w:val="004F2BDD"/>
    <w:rsid w:val="004F2BEA"/>
    <w:rsid w:val="004F3F4C"/>
    <w:rsid w:val="004F4EF2"/>
    <w:rsid w:val="004F4F9E"/>
    <w:rsid w:val="004F57DA"/>
    <w:rsid w:val="004F617E"/>
    <w:rsid w:val="004F7212"/>
    <w:rsid w:val="00501FD6"/>
    <w:rsid w:val="00502DA0"/>
    <w:rsid w:val="00503E97"/>
    <w:rsid w:val="00504847"/>
    <w:rsid w:val="00504CBB"/>
    <w:rsid w:val="00504EED"/>
    <w:rsid w:val="00505C45"/>
    <w:rsid w:val="0051074A"/>
    <w:rsid w:val="005116CD"/>
    <w:rsid w:val="00511F27"/>
    <w:rsid w:val="005134E3"/>
    <w:rsid w:val="00513F07"/>
    <w:rsid w:val="00514DC6"/>
    <w:rsid w:val="0051510A"/>
    <w:rsid w:val="00515547"/>
    <w:rsid w:val="00520157"/>
    <w:rsid w:val="0052280F"/>
    <w:rsid w:val="005234D5"/>
    <w:rsid w:val="0052386C"/>
    <w:rsid w:val="00524E14"/>
    <w:rsid w:val="00525AAB"/>
    <w:rsid w:val="005269FA"/>
    <w:rsid w:val="0052769E"/>
    <w:rsid w:val="00530421"/>
    <w:rsid w:val="00531CEA"/>
    <w:rsid w:val="005326EF"/>
    <w:rsid w:val="005329A7"/>
    <w:rsid w:val="00532DC6"/>
    <w:rsid w:val="0053353E"/>
    <w:rsid w:val="00536033"/>
    <w:rsid w:val="005370A9"/>
    <w:rsid w:val="00540048"/>
    <w:rsid w:val="00540E6C"/>
    <w:rsid w:val="00541AA4"/>
    <w:rsid w:val="00541CB4"/>
    <w:rsid w:val="00541EE0"/>
    <w:rsid w:val="00543B6B"/>
    <w:rsid w:val="00543E9D"/>
    <w:rsid w:val="00546BCE"/>
    <w:rsid w:val="0054701C"/>
    <w:rsid w:val="00547CBB"/>
    <w:rsid w:val="00550D06"/>
    <w:rsid w:val="00551096"/>
    <w:rsid w:val="005513DA"/>
    <w:rsid w:val="00551B2D"/>
    <w:rsid w:val="00554771"/>
    <w:rsid w:val="00555DEB"/>
    <w:rsid w:val="00556889"/>
    <w:rsid w:val="005570B9"/>
    <w:rsid w:val="00560276"/>
    <w:rsid w:val="005627A9"/>
    <w:rsid w:val="005642FB"/>
    <w:rsid w:val="005654A6"/>
    <w:rsid w:val="0056665E"/>
    <w:rsid w:val="005701F9"/>
    <w:rsid w:val="005703E8"/>
    <w:rsid w:val="0057075A"/>
    <w:rsid w:val="00574C99"/>
    <w:rsid w:val="00575C56"/>
    <w:rsid w:val="00577A4D"/>
    <w:rsid w:val="0058348E"/>
    <w:rsid w:val="00583FF6"/>
    <w:rsid w:val="00584CAE"/>
    <w:rsid w:val="00584DB3"/>
    <w:rsid w:val="005902D9"/>
    <w:rsid w:val="00590948"/>
    <w:rsid w:val="00593B62"/>
    <w:rsid w:val="00594FB0"/>
    <w:rsid w:val="005956C5"/>
    <w:rsid w:val="0059619D"/>
    <w:rsid w:val="00597A83"/>
    <w:rsid w:val="00597C27"/>
    <w:rsid w:val="005A0B97"/>
    <w:rsid w:val="005A17C9"/>
    <w:rsid w:val="005A76C7"/>
    <w:rsid w:val="005B0C82"/>
    <w:rsid w:val="005B23DD"/>
    <w:rsid w:val="005B2B6A"/>
    <w:rsid w:val="005B2D12"/>
    <w:rsid w:val="005B36AD"/>
    <w:rsid w:val="005B387C"/>
    <w:rsid w:val="005B3D6D"/>
    <w:rsid w:val="005B3FEA"/>
    <w:rsid w:val="005B4020"/>
    <w:rsid w:val="005B5271"/>
    <w:rsid w:val="005B7553"/>
    <w:rsid w:val="005B7B08"/>
    <w:rsid w:val="005C0D2C"/>
    <w:rsid w:val="005C0FF1"/>
    <w:rsid w:val="005C155D"/>
    <w:rsid w:val="005C1591"/>
    <w:rsid w:val="005C284D"/>
    <w:rsid w:val="005C28D7"/>
    <w:rsid w:val="005C2CE7"/>
    <w:rsid w:val="005C3212"/>
    <w:rsid w:val="005C5169"/>
    <w:rsid w:val="005C786C"/>
    <w:rsid w:val="005D2AF6"/>
    <w:rsid w:val="005D301F"/>
    <w:rsid w:val="005D32C4"/>
    <w:rsid w:val="005D3CE0"/>
    <w:rsid w:val="005D409B"/>
    <w:rsid w:val="005D4EFF"/>
    <w:rsid w:val="005E08DD"/>
    <w:rsid w:val="005E0F07"/>
    <w:rsid w:val="005E0FF5"/>
    <w:rsid w:val="005E10B3"/>
    <w:rsid w:val="005E14FD"/>
    <w:rsid w:val="005E2236"/>
    <w:rsid w:val="005E4332"/>
    <w:rsid w:val="005E4F24"/>
    <w:rsid w:val="005E50B2"/>
    <w:rsid w:val="005E537C"/>
    <w:rsid w:val="005E6994"/>
    <w:rsid w:val="005E76AD"/>
    <w:rsid w:val="005E7965"/>
    <w:rsid w:val="005F03A1"/>
    <w:rsid w:val="005F1A7C"/>
    <w:rsid w:val="005F37BD"/>
    <w:rsid w:val="005F398B"/>
    <w:rsid w:val="005F3F3E"/>
    <w:rsid w:val="005F4BB8"/>
    <w:rsid w:val="005F6D94"/>
    <w:rsid w:val="005F753F"/>
    <w:rsid w:val="006015D3"/>
    <w:rsid w:val="00603664"/>
    <w:rsid w:val="0060384D"/>
    <w:rsid w:val="00603FBF"/>
    <w:rsid w:val="00605271"/>
    <w:rsid w:val="00605D2A"/>
    <w:rsid w:val="00606906"/>
    <w:rsid w:val="00606B62"/>
    <w:rsid w:val="006076D7"/>
    <w:rsid w:val="00607EEC"/>
    <w:rsid w:val="00610440"/>
    <w:rsid w:val="006104CF"/>
    <w:rsid w:val="006109F9"/>
    <w:rsid w:val="00610B63"/>
    <w:rsid w:val="00611645"/>
    <w:rsid w:val="006125DC"/>
    <w:rsid w:val="0061265F"/>
    <w:rsid w:val="00612BD1"/>
    <w:rsid w:val="00612D94"/>
    <w:rsid w:val="00613CF9"/>
    <w:rsid w:val="0061400D"/>
    <w:rsid w:val="0061455C"/>
    <w:rsid w:val="006160C2"/>
    <w:rsid w:val="0061785E"/>
    <w:rsid w:val="00617EC6"/>
    <w:rsid w:val="00617FAF"/>
    <w:rsid w:val="00620FB1"/>
    <w:rsid w:val="006227AD"/>
    <w:rsid w:val="00622A05"/>
    <w:rsid w:val="0062569B"/>
    <w:rsid w:val="0063161C"/>
    <w:rsid w:val="00632D86"/>
    <w:rsid w:val="00633C68"/>
    <w:rsid w:val="00633FB3"/>
    <w:rsid w:val="00634946"/>
    <w:rsid w:val="00634E2B"/>
    <w:rsid w:val="00635A89"/>
    <w:rsid w:val="00635BE2"/>
    <w:rsid w:val="00635F70"/>
    <w:rsid w:val="00636464"/>
    <w:rsid w:val="00637159"/>
    <w:rsid w:val="00637671"/>
    <w:rsid w:val="00641C3A"/>
    <w:rsid w:val="00641FDA"/>
    <w:rsid w:val="00643516"/>
    <w:rsid w:val="006461EE"/>
    <w:rsid w:val="00646E97"/>
    <w:rsid w:val="0064729E"/>
    <w:rsid w:val="006501C4"/>
    <w:rsid w:val="00651882"/>
    <w:rsid w:val="00652CD5"/>
    <w:rsid w:val="006539E5"/>
    <w:rsid w:val="0066098D"/>
    <w:rsid w:val="00660F43"/>
    <w:rsid w:val="006614D6"/>
    <w:rsid w:val="00661534"/>
    <w:rsid w:val="00661FB2"/>
    <w:rsid w:val="006639A1"/>
    <w:rsid w:val="00664D43"/>
    <w:rsid w:val="006663AC"/>
    <w:rsid w:val="006671D8"/>
    <w:rsid w:val="00670220"/>
    <w:rsid w:val="006703FE"/>
    <w:rsid w:val="00672D5C"/>
    <w:rsid w:val="00674E3C"/>
    <w:rsid w:val="006764AE"/>
    <w:rsid w:val="00676780"/>
    <w:rsid w:val="00676D9E"/>
    <w:rsid w:val="00677A1B"/>
    <w:rsid w:val="00681308"/>
    <w:rsid w:val="00681E8D"/>
    <w:rsid w:val="006825B2"/>
    <w:rsid w:val="006826F8"/>
    <w:rsid w:val="00682794"/>
    <w:rsid w:val="00683B13"/>
    <w:rsid w:val="00683BB1"/>
    <w:rsid w:val="006845B9"/>
    <w:rsid w:val="006850FB"/>
    <w:rsid w:val="00685FB1"/>
    <w:rsid w:val="00686B28"/>
    <w:rsid w:val="00687B7E"/>
    <w:rsid w:val="00690828"/>
    <w:rsid w:val="00692355"/>
    <w:rsid w:val="00693CAE"/>
    <w:rsid w:val="00696BA3"/>
    <w:rsid w:val="00696F54"/>
    <w:rsid w:val="0069773A"/>
    <w:rsid w:val="00697B0D"/>
    <w:rsid w:val="00697FEE"/>
    <w:rsid w:val="006A5D63"/>
    <w:rsid w:val="006A69EB"/>
    <w:rsid w:val="006B1000"/>
    <w:rsid w:val="006B1470"/>
    <w:rsid w:val="006B1699"/>
    <w:rsid w:val="006B2645"/>
    <w:rsid w:val="006B2A82"/>
    <w:rsid w:val="006B3F0F"/>
    <w:rsid w:val="006B5410"/>
    <w:rsid w:val="006B6316"/>
    <w:rsid w:val="006B6331"/>
    <w:rsid w:val="006B6B64"/>
    <w:rsid w:val="006B7161"/>
    <w:rsid w:val="006B74CD"/>
    <w:rsid w:val="006C06EC"/>
    <w:rsid w:val="006C0821"/>
    <w:rsid w:val="006C0D28"/>
    <w:rsid w:val="006C1013"/>
    <w:rsid w:val="006C1FC3"/>
    <w:rsid w:val="006C2CC5"/>
    <w:rsid w:val="006C4E19"/>
    <w:rsid w:val="006C54F6"/>
    <w:rsid w:val="006C6FF6"/>
    <w:rsid w:val="006C783C"/>
    <w:rsid w:val="006D03FB"/>
    <w:rsid w:val="006D04B4"/>
    <w:rsid w:val="006D04F2"/>
    <w:rsid w:val="006D05D5"/>
    <w:rsid w:val="006D0F59"/>
    <w:rsid w:val="006D357F"/>
    <w:rsid w:val="006D4B27"/>
    <w:rsid w:val="006D4D7C"/>
    <w:rsid w:val="006D5607"/>
    <w:rsid w:val="006D68C8"/>
    <w:rsid w:val="006D6AE9"/>
    <w:rsid w:val="006D7605"/>
    <w:rsid w:val="006D7B6C"/>
    <w:rsid w:val="006D7EB8"/>
    <w:rsid w:val="006E27DF"/>
    <w:rsid w:val="006E2D7D"/>
    <w:rsid w:val="006E2EC6"/>
    <w:rsid w:val="006E5763"/>
    <w:rsid w:val="006E6221"/>
    <w:rsid w:val="006E6832"/>
    <w:rsid w:val="006E6F00"/>
    <w:rsid w:val="006F0C24"/>
    <w:rsid w:val="006F141D"/>
    <w:rsid w:val="006F3608"/>
    <w:rsid w:val="006F363D"/>
    <w:rsid w:val="006F4897"/>
    <w:rsid w:val="006F4B56"/>
    <w:rsid w:val="006F4CBC"/>
    <w:rsid w:val="006F55ED"/>
    <w:rsid w:val="006F5FAC"/>
    <w:rsid w:val="006F74C3"/>
    <w:rsid w:val="006F7C3E"/>
    <w:rsid w:val="00701AAD"/>
    <w:rsid w:val="00702398"/>
    <w:rsid w:val="007036AC"/>
    <w:rsid w:val="00703EFF"/>
    <w:rsid w:val="00705355"/>
    <w:rsid w:val="0070615E"/>
    <w:rsid w:val="0070756F"/>
    <w:rsid w:val="00713BC1"/>
    <w:rsid w:val="00714679"/>
    <w:rsid w:val="00715EDD"/>
    <w:rsid w:val="0072002E"/>
    <w:rsid w:val="0072098D"/>
    <w:rsid w:val="00720B22"/>
    <w:rsid w:val="00721565"/>
    <w:rsid w:val="00722039"/>
    <w:rsid w:val="0072228C"/>
    <w:rsid w:val="00724688"/>
    <w:rsid w:val="0072578B"/>
    <w:rsid w:val="00726086"/>
    <w:rsid w:val="0072649E"/>
    <w:rsid w:val="00730D09"/>
    <w:rsid w:val="00731605"/>
    <w:rsid w:val="00731D8A"/>
    <w:rsid w:val="00731ED7"/>
    <w:rsid w:val="00732248"/>
    <w:rsid w:val="00732984"/>
    <w:rsid w:val="00732BA0"/>
    <w:rsid w:val="00740312"/>
    <w:rsid w:val="00740EB3"/>
    <w:rsid w:val="00741FAF"/>
    <w:rsid w:val="00742675"/>
    <w:rsid w:val="007427E5"/>
    <w:rsid w:val="00742A0E"/>
    <w:rsid w:val="00742E07"/>
    <w:rsid w:val="007501B0"/>
    <w:rsid w:val="007528BB"/>
    <w:rsid w:val="00752BB6"/>
    <w:rsid w:val="00752BFD"/>
    <w:rsid w:val="00753236"/>
    <w:rsid w:val="00755A76"/>
    <w:rsid w:val="007560E8"/>
    <w:rsid w:val="00756466"/>
    <w:rsid w:val="00756BA2"/>
    <w:rsid w:val="007572B0"/>
    <w:rsid w:val="00760090"/>
    <w:rsid w:val="00760A20"/>
    <w:rsid w:val="00760D7F"/>
    <w:rsid w:val="00761486"/>
    <w:rsid w:val="007634C4"/>
    <w:rsid w:val="00764234"/>
    <w:rsid w:val="00766B0A"/>
    <w:rsid w:val="00766C48"/>
    <w:rsid w:val="0076784B"/>
    <w:rsid w:val="00770A91"/>
    <w:rsid w:val="007729A6"/>
    <w:rsid w:val="00772DCC"/>
    <w:rsid w:val="00773A32"/>
    <w:rsid w:val="0077586F"/>
    <w:rsid w:val="007765CB"/>
    <w:rsid w:val="00776FF2"/>
    <w:rsid w:val="0077767A"/>
    <w:rsid w:val="00781595"/>
    <w:rsid w:val="007817D2"/>
    <w:rsid w:val="0078327A"/>
    <w:rsid w:val="00783CFE"/>
    <w:rsid w:val="0079157C"/>
    <w:rsid w:val="007936C9"/>
    <w:rsid w:val="00793FF8"/>
    <w:rsid w:val="0079422F"/>
    <w:rsid w:val="00796275"/>
    <w:rsid w:val="00797A20"/>
    <w:rsid w:val="00797EAC"/>
    <w:rsid w:val="00797FF2"/>
    <w:rsid w:val="007A2170"/>
    <w:rsid w:val="007A255F"/>
    <w:rsid w:val="007A2AB2"/>
    <w:rsid w:val="007A3509"/>
    <w:rsid w:val="007A35CD"/>
    <w:rsid w:val="007A397A"/>
    <w:rsid w:val="007A3FEB"/>
    <w:rsid w:val="007A4336"/>
    <w:rsid w:val="007A4AEA"/>
    <w:rsid w:val="007A4C83"/>
    <w:rsid w:val="007A55F8"/>
    <w:rsid w:val="007A5DE9"/>
    <w:rsid w:val="007A622A"/>
    <w:rsid w:val="007A6FA6"/>
    <w:rsid w:val="007A7016"/>
    <w:rsid w:val="007A71F6"/>
    <w:rsid w:val="007B09E6"/>
    <w:rsid w:val="007B0CBD"/>
    <w:rsid w:val="007B1686"/>
    <w:rsid w:val="007B1F48"/>
    <w:rsid w:val="007B2A30"/>
    <w:rsid w:val="007B2D34"/>
    <w:rsid w:val="007B410B"/>
    <w:rsid w:val="007B450E"/>
    <w:rsid w:val="007B568F"/>
    <w:rsid w:val="007B5BAD"/>
    <w:rsid w:val="007C1E8E"/>
    <w:rsid w:val="007C3A5C"/>
    <w:rsid w:val="007C4877"/>
    <w:rsid w:val="007C5C0D"/>
    <w:rsid w:val="007C5C3D"/>
    <w:rsid w:val="007C6273"/>
    <w:rsid w:val="007C65B3"/>
    <w:rsid w:val="007C7500"/>
    <w:rsid w:val="007D0151"/>
    <w:rsid w:val="007D05D0"/>
    <w:rsid w:val="007D0D38"/>
    <w:rsid w:val="007D308B"/>
    <w:rsid w:val="007D34A5"/>
    <w:rsid w:val="007D37BC"/>
    <w:rsid w:val="007D5173"/>
    <w:rsid w:val="007D78F9"/>
    <w:rsid w:val="007E13C8"/>
    <w:rsid w:val="007E1681"/>
    <w:rsid w:val="007E20A3"/>
    <w:rsid w:val="007E250D"/>
    <w:rsid w:val="007E28D4"/>
    <w:rsid w:val="007E44FC"/>
    <w:rsid w:val="007E4CFB"/>
    <w:rsid w:val="007E5190"/>
    <w:rsid w:val="007E5281"/>
    <w:rsid w:val="007E5C63"/>
    <w:rsid w:val="007E628D"/>
    <w:rsid w:val="007E7252"/>
    <w:rsid w:val="007E7744"/>
    <w:rsid w:val="007E77C7"/>
    <w:rsid w:val="007F1060"/>
    <w:rsid w:val="007F1B80"/>
    <w:rsid w:val="007F1CE3"/>
    <w:rsid w:val="007F2BE0"/>
    <w:rsid w:val="007F3C66"/>
    <w:rsid w:val="007F3F70"/>
    <w:rsid w:val="007F5F17"/>
    <w:rsid w:val="00802C19"/>
    <w:rsid w:val="00803575"/>
    <w:rsid w:val="00804DF6"/>
    <w:rsid w:val="00805601"/>
    <w:rsid w:val="00805C85"/>
    <w:rsid w:val="0080746A"/>
    <w:rsid w:val="00811927"/>
    <w:rsid w:val="0081196E"/>
    <w:rsid w:val="008130B4"/>
    <w:rsid w:val="00814BD5"/>
    <w:rsid w:val="00816699"/>
    <w:rsid w:val="008201D1"/>
    <w:rsid w:val="0082085A"/>
    <w:rsid w:val="00821AAE"/>
    <w:rsid w:val="008224FA"/>
    <w:rsid w:val="00823BCC"/>
    <w:rsid w:val="00823E32"/>
    <w:rsid w:val="008240D7"/>
    <w:rsid w:val="008243A8"/>
    <w:rsid w:val="008247A1"/>
    <w:rsid w:val="008255AB"/>
    <w:rsid w:val="00826165"/>
    <w:rsid w:val="008276FD"/>
    <w:rsid w:val="008300E2"/>
    <w:rsid w:val="00830CB4"/>
    <w:rsid w:val="00831232"/>
    <w:rsid w:val="008319E5"/>
    <w:rsid w:val="00831D43"/>
    <w:rsid w:val="008322D5"/>
    <w:rsid w:val="00832567"/>
    <w:rsid w:val="008333DC"/>
    <w:rsid w:val="0083376D"/>
    <w:rsid w:val="00833F2F"/>
    <w:rsid w:val="0083592B"/>
    <w:rsid w:val="00836319"/>
    <w:rsid w:val="00836DC9"/>
    <w:rsid w:val="00837EBC"/>
    <w:rsid w:val="00840BA7"/>
    <w:rsid w:val="00840F52"/>
    <w:rsid w:val="00840FB8"/>
    <w:rsid w:val="00845979"/>
    <w:rsid w:val="00846B9C"/>
    <w:rsid w:val="00847498"/>
    <w:rsid w:val="008474E6"/>
    <w:rsid w:val="00847D36"/>
    <w:rsid w:val="00847F6C"/>
    <w:rsid w:val="0085051C"/>
    <w:rsid w:val="00851DDD"/>
    <w:rsid w:val="00852A26"/>
    <w:rsid w:val="00853093"/>
    <w:rsid w:val="00854EEE"/>
    <w:rsid w:val="008551AE"/>
    <w:rsid w:val="00855685"/>
    <w:rsid w:val="0085569F"/>
    <w:rsid w:val="008558ED"/>
    <w:rsid w:val="0085616C"/>
    <w:rsid w:val="008563F9"/>
    <w:rsid w:val="00856BDE"/>
    <w:rsid w:val="0086014A"/>
    <w:rsid w:val="00861A50"/>
    <w:rsid w:val="00862A7B"/>
    <w:rsid w:val="00864081"/>
    <w:rsid w:val="00864227"/>
    <w:rsid w:val="008676FB"/>
    <w:rsid w:val="00867F7D"/>
    <w:rsid w:val="008707A9"/>
    <w:rsid w:val="008712FF"/>
    <w:rsid w:val="0087224C"/>
    <w:rsid w:val="008723A9"/>
    <w:rsid w:val="0087291F"/>
    <w:rsid w:val="00875F44"/>
    <w:rsid w:val="0087628B"/>
    <w:rsid w:val="00876C58"/>
    <w:rsid w:val="00876D14"/>
    <w:rsid w:val="00880359"/>
    <w:rsid w:val="00881110"/>
    <w:rsid w:val="00881439"/>
    <w:rsid w:val="00881D9D"/>
    <w:rsid w:val="00885821"/>
    <w:rsid w:val="008861A5"/>
    <w:rsid w:val="008906B3"/>
    <w:rsid w:val="0089101C"/>
    <w:rsid w:val="00891617"/>
    <w:rsid w:val="00891777"/>
    <w:rsid w:val="008918EA"/>
    <w:rsid w:val="00891F7A"/>
    <w:rsid w:val="008934BD"/>
    <w:rsid w:val="00893B8D"/>
    <w:rsid w:val="008951BF"/>
    <w:rsid w:val="00895508"/>
    <w:rsid w:val="00897F46"/>
    <w:rsid w:val="008A0210"/>
    <w:rsid w:val="008A02B8"/>
    <w:rsid w:val="008A2148"/>
    <w:rsid w:val="008A3E94"/>
    <w:rsid w:val="008A652D"/>
    <w:rsid w:val="008A7015"/>
    <w:rsid w:val="008B10E4"/>
    <w:rsid w:val="008B1168"/>
    <w:rsid w:val="008B156F"/>
    <w:rsid w:val="008B17C0"/>
    <w:rsid w:val="008B3C27"/>
    <w:rsid w:val="008B4843"/>
    <w:rsid w:val="008B58CA"/>
    <w:rsid w:val="008B6AE5"/>
    <w:rsid w:val="008C06CD"/>
    <w:rsid w:val="008C0A76"/>
    <w:rsid w:val="008C1052"/>
    <w:rsid w:val="008C168F"/>
    <w:rsid w:val="008C2F0C"/>
    <w:rsid w:val="008C3450"/>
    <w:rsid w:val="008C42A3"/>
    <w:rsid w:val="008C6C5A"/>
    <w:rsid w:val="008C6E81"/>
    <w:rsid w:val="008C723E"/>
    <w:rsid w:val="008C7EDD"/>
    <w:rsid w:val="008D06BA"/>
    <w:rsid w:val="008D179D"/>
    <w:rsid w:val="008D2257"/>
    <w:rsid w:val="008D281E"/>
    <w:rsid w:val="008D3556"/>
    <w:rsid w:val="008D4A1D"/>
    <w:rsid w:val="008D5199"/>
    <w:rsid w:val="008D53F8"/>
    <w:rsid w:val="008D544E"/>
    <w:rsid w:val="008D74B2"/>
    <w:rsid w:val="008E000D"/>
    <w:rsid w:val="008E0D04"/>
    <w:rsid w:val="008E13C8"/>
    <w:rsid w:val="008E1EB4"/>
    <w:rsid w:val="008E28C0"/>
    <w:rsid w:val="008E2A31"/>
    <w:rsid w:val="008E3BD6"/>
    <w:rsid w:val="008E5ED7"/>
    <w:rsid w:val="008E63BA"/>
    <w:rsid w:val="008F09AB"/>
    <w:rsid w:val="008F168A"/>
    <w:rsid w:val="008F1BB6"/>
    <w:rsid w:val="008F2373"/>
    <w:rsid w:val="008F3912"/>
    <w:rsid w:val="008F3BB2"/>
    <w:rsid w:val="008F5699"/>
    <w:rsid w:val="008F588C"/>
    <w:rsid w:val="008F59BF"/>
    <w:rsid w:val="008F5E6E"/>
    <w:rsid w:val="008F60EC"/>
    <w:rsid w:val="008F62DB"/>
    <w:rsid w:val="008F6F1D"/>
    <w:rsid w:val="008F7638"/>
    <w:rsid w:val="00900591"/>
    <w:rsid w:val="00902183"/>
    <w:rsid w:val="0090223D"/>
    <w:rsid w:val="009024E5"/>
    <w:rsid w:val="00902FF9"/>
    <w:rsid w:val="0090376C"/>
    <w:rsid w:val="009048FD"/>
    <w:rsid w:val="00904D0A"/>
    <w:rsid w:val="009053F2"/>
    <w:rsid w:val="00905463"/>
    <w:rsid w:val="00907118"/>
    <w:rsid w:val="00907B3D"/>
    <w:rsid w:val="00907D1C"/>
    <w:rsid w:val="00911654"/>
    <w:rsid w:val="0091184E"/>
    <w:rsid w:val="00911EAB"/>
    <w:rsid w:val="00911EF6"/>
    <w:rsid w:val="009128D4"/>
    <w:rsid w:val="00913253"/>
    <w:rsid w:val="00915183"/>
    <w:rsid w:val="009157E2"/>
    <w:rsid w:val="00915E51"/>
    <w:rsid w:val="00916888"/>
    <w:rsid w:val="00916C81"/>
    <w:rsid w:val="009173E6"/>
    <w:rsid w:val="00917B3A"/>
    <w:rsid w:val="00917B9B"/>
    <w:rsid w:val="00917E88"/>
    <w:rsid w:val="0092200B"/>
    <w:rsid w:val="0092354F"/>
    <w:rsid w:val="009244F4"/>
    <w:rsid w:val="00924B68"/>
    <w:rsid w:val="0092563A"/>
    <w:rsid w:val="00926057"/>
    <w:rsid w:val="0092740B"/>
    <w:rsid w:val="009279E5"/>
    <w:rsid w:val="00927DC2"/>
    <w:rsid w:val="00932679"/>
    <w:rsid w:val="00932744"/>
    <w:rsid w:val="00932B66"/>
    <w:rsid w:val="00932D0E"/>
    <w:rsid w:val="00935C31"/>
    <w:rsid w:val="00940F9F"/>
    <w:rsid w:val="00941463"/>
    <w:rsid w:val="00942D72"/>
    <w:rsid w:val="0094392A"/>
    <w:rsid w:val="00943962"/>
    <w:rsid w:val="00943F03"/>
    <w:rsid w:val="00944966"/>
    <w:rsid w:val="00946C1F"/>
    <w:rsid w:val="00946CD3"/>
    <w:rsid w:val="009504AA"/>
    <w:rsid w:val="00951F9C"/>
    <w:rsid w:val="00953296"/>
    <w:rsid w:val="00954F20"/>
    <w:rsid w:val="009550EE"/>
    <w:rsid w:val="00955387"/>
    <w:rsid w:val="00960835"/>
    <w:rsid w:val="00963497"/>
    <w:rsid w:val="00963D82"/>
    <w:rsid w:val="009654CC"/>
    <w:rsid w:val="0096559C"/>
    <w:rsid w:val="00971DC0"/>
    <w:rsid w:val="00972004"/>
    <w:rsid w:val="00972510"/>
    <w:rsid w:val="00974A8C"/>
    <w:rsid w:val="00976EBE"/>
    <w:rsid w:val="00977FD0"/>
    <w:rsid w:val="009805C0"/>
    <w:rsid w:val="00981043"/>
    <w:rsid w:val="00981A5B"/>
    <w:rsid w:val="00981E7B"/>
    <w:rsid w:val="00982B3B"/>
    <w:rsid w:val="00984E46"/>
    <w:rsid w:val="00984E6A"/>
    <w:rsid w:val="00984FBA"/>
    <w:rsid w:val="00985E9C"/>
    <w:rsid w:val="00985F69"/>
    <w:rsid w:val="0098641C"/>
    <w:rsid w:val="009864DD"/>
    <w:rsid w:val="009871F3"/>
    <w:rsid w:val="00987CE8"/>
    <w:rsid w:val="00987E14"/>
    <w:rsid w:val="00990C50"/>
    <w:rsid w:val="00993897"/>
    <w:rsid w:val="00993A81"/>
    <w:rsid w:val="00995394"/>
    <w:rsid w:val="00995588"/>
    <w:rsid w:val="00996819"/>
    <w:rsid w:val="00997002"/>
    <w:rsid w:val="009977EC"/>
    <w:rsid w:val="0099799F"/>
    <w:rsid w:val="009A3312"/>
    <w:rsid w:val="009A4095"/>
    <w:rsid w:val="009A5063"/>
    <w:rsid w:val="009A5277"/>
    <w:rsid w:val="009A5B90"/>
    <w:rsid w:val="009B030A"/>
    <w:rsid w:val="009B06B9"/>
    <w:rsid w:val="009B0A63"/>
    <w:rsid w:val="009B1E37"/>
    <w:rsid w:val="009B3014"/>
    <w:rsid w:val="009B4561"/>
    <w:rsid w:val="009B4B23"/>
    <w:rsid w:val="009B5682"/>
    <w:rsid w:val="009B5A52"/>
    <w:rsid w:val="009B7800"/>
    <w:rsid w:val="009B7A45"/>
    <w:rsid w:val="009B7D11"/>
    <w:rsid w:val="009B7D75"/>
    <w:rsid w:val="009C05A0"/>
    <w:rsid w:val="009C075D"/>
    <w:rsid w:val="009C11AA"/>
    <w:rsid w:val="009C200E"/>
    <w:rsid w:val="009C2442"/>
    <w:rsid w:val="009C2989"/>
    <w:rsid w:val="009C298B"/>
    <w:rsid w:val="009C2AA2"/>
    <w:rsid w:val="009C32A2"/>
    <w:rsid w:val="009C49D9"/>
    <w:rsid w:val="009C53FF"/>
    <w:rsid w:val="009C6919"/>
    <w:rsid w:val="009D0559"/>
    <w:rsid w:val="009D1016"/>
    <w:rsid w:val="009D112E"/>
    <w:rsid w:val="009D1C93"/>
    <w:rsid w:val="009D40FE"/>
    <w:rsid w:val="009D464A"/>
    <w:rsid w:val="009D61A2"/>
    <w:rsid w:val="009D7BD3"/>
    <w:rsid w:val="009E05A3"/>
    <w:rsid w:val="009E107A"/>
    <w:rsid w:val="009E29A5"/>
    <w:rsid w:val="009E2AAA"/>
    <w:rsid w:val="009E31A3"/>
    <w:rsid w:val="009E5DA4"/>
    <w:rsid w:val="009E6056"/>
    <w:rsid w:val="009E60E0"/>
    <w:rsid w:val="009E6416"/>
    <w:rsid w:val="009E6C19"/>
    <w:rsid w:val="009E6D74"/>
    <w:rsid w:val="009E6FD6"/>
    <w:rsid w:val="009E73A4"/>
    <w:rsid w:val="009F0AB4"/>
    <w:rsid w:val="009F0B26"/>
    <w:rsid w:val="009F0CD7"/>
    <w:rsid w:val="009F2C20"/>
    <w:rsid w:val="009F325B"/>
    <w:rsid w:val="009F4724"/>
    <w:rsid w:val="009F5EDA"/>
    <w:rsid w:val="009F6A7D"/>
    <w:rsid w:val="009F7226"/>
    <w:rsid w:val="009F743E"/>
    <w:rsid w:val="009F78D1"/>
    <w:rsid w:val="00A00B80"/>
    <w:rsid w:val="00A00DFC"/>
    <w:rsid w:val="00A01D04"/>
    <w:rsid w:val="00A02910"/>
    <w:rsid w:val="00A030D8"/>
    <w:rsid w:val="00A03946"/>
    <w:rsid w:val="00A03E4C"/>
    <w:rsid w:val="00A05E86"/>
    <w:rsid w:val="00A061F4"/>
    <w:rsid w:val="00A118F1"/>
    <w:rsid w:val="00A11955"/>
    <w:rsid w:val="00A14A4F"/>
    <w:rsid w:val="00A14BF1"/>
    <w:rsid w:val="00A154B4"/>
    <w:rsid w:val="00A15E35"/>
    <w:rsid w:val="00A17724"/>
    <w:rsid w:val="00A20BD5"/>
    <w:rsid w:val="00A21474"/>
    <w:rsid w:val="00A215CF"/>
    <w:rsid w:val="00A24577"/>
    <w:rsid w:val="00A24C12"/>
    <w:rsid w:val="00A26610"/>
    <w:rsid w:val="00A279C0"/>
    <w:rsid w:val="00A311B6"/>
    <w:rsid w:val="00A33186"/>
    <w:rsid w:val="00A33AAE"/>
    <w:rsid w:val="00A34625"/>
    <w:rsid w:val="00A37BEE"/>
    <w:rsid w:val="00A42101"/>
    <w:rsid w:val="00A43B1F"/>
    <w:rsid w:val="00A449B6"/>
    <w:rsid w:val="00A44CA2"/>
    <w:rsid w:val="00A44F19"/>
    <w:rsid w:val="00A45CAB"/>
    <w:rsid w:val="00A46698"/>
    <w:rsid w:val="00A51392"/>
    <w:rsid w:val="00A52CE7"/>
    <w:rsid w:val="00A530B8"/>
    <w:rsid w:val="00A536E7"/>
    <w:rsid w:val="00A5377A"/>
    <w:rsid w:val="00A538BA"/>
    <w:rsid w:val="00A53BC9"/>
    <w:rsid w:val="00A5429B"/>
    <w:rsid w:val="00A57BD0"/>
    <w:rsid w:val="00A60CE3"/>
    <w:rsid w:val="00A610B6"/>
    <w:rsid w:val="00A61545"/>
    <w:rsid w:val="00A615CA"/>
    <w:rsid w:val="00A61AF7"/>
    <w:rsid w:val="00A62AE1"/>
    <w:rsid w:val="00A634FE"/>
    <w:rsid w:val="00A63D76"/>
    <w:rsid w:val="00A64293"/>
    <w:rsid w:val="00A64B9F"/>
    <w:rsid w:val="00A65700"/>
    <w:rsid w:val="00A65F58"/>
    <w:rsid w:val="00A66736"/>
    <w:rsid w:val="00A66B22"/>
    <w:rsid w:val="00A674B2"/>
    <w:rsid w:val="00A71B0C"/>
    <w:rsid w:val="00A734B0"/>
    <w:rsid w:val="00A735DB"/>
    <w:rsid w:val="00A73E3C"/>
    <w:rsid w:val="00A73EF7"/>
    <w:rsid w:val="00A75108"/>
    <w:rsid w:val="00A756C9"/>
    <w:rsid w:val="00A76061"/>
    <w:rsid w:val="00A7630F"/>
    <w:rsid w:val="00A7732A"/>
    <w:rsid w:val="00A8110B"/>
    <w:rsid w:val="00A82F67"/>
    <w:rsid w:val="00A83F61"/>
    <w:rsid w:val="00A872DF"/>
    <w:rsid w:val="00A900C1"/>
    <w:rsid w:val="00A90BBC"/>
    <w:rsid w:val="00A91E88"/>
    <w:rsid w:val="00A92391"/>
    <w:rsid w:val="00A939B2"/>
    <w:rsid w:val="00A94225"/>
    <w:rsid w:val="00A94A9A"/>
    <w:rsid w:val="00A950B4"/>
    <w:rsid w:val="00A9526C"/>
    <w:rsid w:val="00A953E6"/>
    <w:rsid w:val="00A958A2"/>
    <w:rsid w:val="00A95B1C"/>
    <w:rsid w:val="00A9688E"/>
    <w:rsid w:val="00A96A59"/>
    <w:rsid w:val="00A973F5"/>
    <w:rsid w:val="00A9744C"/>
    <w:rsid w:val="00A97BC0"/>
    <w:rsid w:val="00A97E6A"/>
    <w:rsid w:val="00AA00AC"/>
    <w:rsid w:val="00AA02B0"/>
    <w:rsid w:val="00AA120D"/>
    <w:rsid w:val="00AA1FFC"/>
    <w:rsid w:val="00AA2EDA"/>
    <w:rsid w:val="00AA45F3"/>
    <w:rsid w:val="00AA4601"/>
    <w:rsid w:val="00AA4E74"/>
    <w:rsid w:val="00AA4E76"/>
    <w:rsid w:val="00AA7E16"/>
    <w:rsid w:val="00AB2573"/>
    <w:rsid w:val="00AB2A95"/>
    <w:rsid w:val="00AB2E46"/>
    <w:rsid w:val="00AB3083"/>
    <w:rsid w:val="00AB5DD1"/>
    <w:rsid w:val="00AB6A41"/>
    <w:rsid w:val="00AB72EF"/>
    <w:rsid w:val="00AB76E8"/>
    <w:rsid w:val="00AB787B"/>
    <w:rsid w:val="00AC065B"/>
    <w:rsid w:val="00AC1F42"/>
    <w:rsid w:val="00AC5350"/>
    <w:rsid w:val="00AC6386"/>
    <w:rsid w:val="00AC6EF1"/>
    <w:rsid w:val="00AD00F5"/>
    <w:rsid w:val="00AD2B20"/>
    <w:rsid w:val="00AD2B9F"/>
    <w:rsid w:val="00AE0471"/>
    <w:rsid w:val="00AE0D51"/>
    <w:rsid w:val="00AE2168"/>
    <w:rsid w:val="00AE72D7"/>
    <w:rsid w:val="00AF02F2"/>
    <w:rsid w:val="00AF0B2E"/>
    <w:rsid w:val="00AF33F4"/>
    <w:rsid w:val="00AF399B"/>
    <w:rsid w:val="00AF3B7C"/>
    <w:rsid w:val="00AF5852"/>
    <w:rsid w:val="00AF606B"/>
    <w:rsid w:val="00AF6BFD"/>
    <w:rsid w:val="00B005C1"/>
    <w:rsid w:val="00B013A3"/>
    <w:rsid w:val="00B015A1"/>
    <w:rsid w:val="00B018CD"/>
    <w:rsid w:val="00B03426"/>
    <w:rsid w:val="00B03461"/>
    <w:rsid w:val="00B03D1E"/>
    <w:rsid w:val="00B0471C"/>
    <w:rsid w:val="00B048A8"/>
    <w:rsid w:val="00B06A02"/>
    <w:rsid w:val="00B075BE"/>
    <w:rsid w:val="00B1067F"/>
    <w:rsid w:val="00B12804"/>
    <w:rsid w:val="00B12919"/>
    <w:rsid w:val="00B12E9B"/>
    <w:rsid w:val="00B144EA"/>
    <w:rsid w:val="00B1504A"/>
    <w:rsid w:val="00B16714"/>
    <w:rsid w:val="00B16F7A"/>
    <w:rsid w:val="00B176CF"/>
    <w:rsid w:val="00B221F8"/>
    <w:rsid w:val="00B2257B"/>
    <w:rsid w:val="00B22B97"/>
    <w:rsid w:val="00B25CED"/>
    <w:rsid w:val="00B26774"/>
    <w:rsid w:val="00B27246"/>
    <w:rsid w:val="00B27FB7"/>
    <w:rsid w:val="00B30384"/>
    <w:rsid w:val="00B32A5A"/>
    <w:rsid w:val="00B346E0"/>
    <w:rsid w:val="00B368C3"/>
    <w:rsid w:val="00B40403"/>
    <w:rsid w:val="00B40539"/>
    <w:rsid w:val="00B413F6"/>
    <w:rsid w:val="00B41822"/>
    <w:rsid w:val="00B42B0B"/>
    <w:rsid w:val="00B42CF9"/>
    <w:rsid w:val="00B440C2"/>
    <w:rsid w:val="00B44BA7"/>
    <w:rsid w:val="00B451AA"/>
    <w:rsid w:val="00B455E9"/>
    <w:rsid w:val="00B46A8E"/>
    <w:rsid w:val="00B4728F"/>
    <w:rsid w:val="00B477EC"/>
    <w:rsid w:val="00B52402"/>
    <w:rsid w:val="00B52D14"/>
    <w:rsid w:val="00B564FF"/>
    <w:rsid w:val="00B60C40"/>
    <w:rsid w:val="00B61E77"/>
    <w:rsid w:val="00B630B0"/>
    <w:rsid w:val="00B64186"/>
    <w:rsid w:val="00B64A55"/>
    <w:rsid w:val="00B669A5"/>
    <w:rsid w:val="00B6712F"/>
    <w:rsid w:val="00B67EDA"/>
    <w:rsid w:val="00B7051B"/>
    <w:rsid w:val="00B70D5C"/>
    <w:rsid w:val="00B70EC4"/>
    <w:rsid w:val="00B71008"/>
    <w:rsid w:val="00B72EB0"/>
    <w:rsid w:val="00B72F93"/>
    <w:rsid w:val="00B74561"/>
    <w:rsid w:val="00B7457F"/>
    <w:rsid w:val="00B74A21"/>
    <w:rsid w:val="00B74CB6"/>
    <w:rsid w:val="00B77979"/>
    <w:rsid w:val="00B77FA3"/>
    <w:rsid w:val="00B80723"/>
    <w:rsid w:val="00B80C4D"/>
    <w:rsid w:val="00B80D67"/>
    <w:rsid w:val="00B80E58"/>
    <w:rsid w:val="00B8194D"/>
    <w:rsid w:val="00B81D0E"/>
    <w:rsid w:val="00B81D58"/>
    <w:rsid w:val="00B82648"/>
    <w:rsid w:val="00B8374B"/>
    <w:rsid w:val="00B838F6"/>
    <w:rsid w:val="00B84C0E"/>
    <w:rsid w:val="00B85932"/>
    <w:rsid w:val="00B871D5"/>
    <w:rsid w:val="00B87B38"/>
    <w:rsid w:val="00B90C41"/>
    <w:rsid w:val="00B90F85"/>
    <w:rsid w:val="00B91B1F"/>
    <w:rsid w:val="00B91FA6"/>
    <w:rsid w:val="00B9296D"/>
    <w:rsid w:val="00B929F7"/>
    <w:rsid w:val="00B9384F"/>
    <w:rsid w:val="00B939C0"/>
    <w:rsid w:val="00B9471D"/>
    <w:rsid w:val="00B95C64"/>
    <w:rsid w:val="00B967C4"/>
    <w:rsid w:val="00B97274"/>
    <w:rsid w:val="00B975CB"/>
    <w:rsid w:val="00B978DF"/>
    <w:rsid w:val="00BA0054"/>
    <w:rsid w:val="00BA0318"/>
    <w:rsid w:val="00BA0358"/>
    <w:rsid w:val="00BA07A9"/>
    <w:rsid w:val="00BA1B05"/>
    <w:rsid w:val="00BA39A6"/>
    <w:rsid w:val="00BA3B1F"/>
    <w:rsid w:val="00BA5511"/>
    <w:rsid w:val="00BA6060"/>
    <w:rsid w:val="00BA6CA0"/>
    <w:rsid w:val="00BA6EEA"/>
    <w:rsid w:val="00BB4D7F"/>
    <w:rsid w:val="00BB54A1"/>
    <w:rsid w:val="00BB55BD"/>
    <w:rsid w:val="00BB6E33"/>
    <w:rsid w:val="00BB6E7D"/>
    <w:rsid w:val="00BC0CB4"/>
    <w:rsid w:val="00BC19A9"/>
    <w:rsid w:val="00BC209E"/>
    <w:rsid w:val="00BC31D4"/>
    <w:rsid w:val="00BC4167"/>
    <w:rsid w:val="00BC4347"/>
    <w:rsid w:val="00BC4A6D"/>
    <w:rsid w:val="00BC58F0"/>
    <w:rsid w:val="00BC6940"/>
    <w:rsid w:val="00BD0834"/>
    <w:rsid w:val="00BD12CC"/>
    <w:rsid w:val="00BD19A9"/>
    <w:rsid w:val="00BD2978"/>
    <w:rsid w:val="00BD2AE0"/>
    <w:rsid w:val="00BD3030"/>
    <w:rsid w:val="00BD30A2"/>
    <w:rsid w:val="00BD3345"/>
    <w:rsid w:val="00BD3A62"/>
    <w:rsid w:val="00BD4C99"/>
    <w:rsid w:val="00BD6481"/>
    <w:rsid w:val="00BE02BD"/>
    <w:rsid w:val="00BE0341"/>
    <w:rsid w:val="00BE0D25"/>
    <w:rsid w:val="00BE1141"/>
    <w:rsid w:val="00BE1406"/>
    <w:rsid w:val="00BE2300"/>
    <w:rsid w:val="00BE5ADD"/>
    <w:rsid w:val="00BE5D3F"/>
    <w:rsid w:val="00BE6ED2"/>
    <w:rsid w:val="00BE6FDB"/>
    <w:rsid w:val="00BE75BE"/>
    <w:rsid w:val="00BE7BB0"/>
    <w:rsid w:val="00BF08B1"/>
    <w:rsid w:val="00BF2900"/>
    <w:rsid w:val="00BF2D25"/>
    <w:rsid w:val="00BF315E"/>
    <w:rsid w:val="00BF5CBF"/>
    <w:rsid w:val="00BF5E6C"/>
    <w:rsid w:val="00BF602A"/>
    <w:rsid w:val="00BF6692"/>
    <w:rsid w:val="00C00637"/>
    <w:rsid w:val="00C019F8"/>
    <w:rsid w:val="00C0228D"/>
    <w:rsid w:val="00C0257E"/>
    <w:rsid w:val="00C02665"/>
    <w:rsid w:val="00C0335E"/>
    <w:rsid w:val="00C046F5"/>
    <w:rsid w:val="00C04EB5"/>
    <w:rsid w:val="00C05531"/>
    <w:rsid w:val="00C05D27"/>
    <w:rsid w:val="00C06879"/>
    <w:rsid w:val="00C07935"/>
    <w:rsid w:val="00C07A81"/>
    <w:rsid w:val="00C10E7C"/>
    <w:rsid w:val="00C11AE9"/>
    <w:rsid w:val="00C11DEE"/>
    <w:rsid w:val="00C11E7C"/>
    <w:rsid w:val="00C120FF"/>
    <w:rsid w:val="00C14418"/>
    <w:rsid w:val="00C15CB5"/>
    <w:rsid w:val="00C17CA6"/>
    <w:rsid w:val="00C17FB3"/>
    <w:rsid w:val="00C2101F"/>
    <w:rsid w:val="00C21119"/>
    <w:rsid w:val="00C213B7"/>
    <w:rsid w:val="00C21E17"/>
    <w:rsid w:val="00C22308"/>
    <w:rsid w:val="00C22AA8"/>
    <w:rsid w:val="00C22B01"/>
    <w:rsid w:val="00C24560"/>
    <w:rsid w:val="00C24F89"/>
    <w:rsid w:val="00C250E0"/>
    <w:rsid w:val="00C30766"/>
    <w:rsid w:val="00C30C78"/>
    <w:rsid w:val="00C31381"/>
    <w:rsid w:val="00C330FE"/>
    <w:rsid w:val="00C332FD"/>
    <w:rsid w:val="00C3399B"/>
    <w:rsid w:val="00C33ABA"/>
    <w:rsid w:val="00C3470C"/>
    <w:rsid w:val="00C34A0F"/>
    <w:rsid w:val="00C34BCC"/>
    <w:rsid w:val="00C352C9"/>
    <w:rsid w:val="00C35387"/>
    <w:rsid w:val="00C357FD"/>
    <w:rsid w:val="00C40BD7"/>
    <w:rsid w:val="00C4175D"/>
    <w:rsid w:val="00C41A87"/>
    <w:rsid w:val="00C41BEC"/>
    <w:rsid w:val="00C42808"/>
    <w:rsid w:val="00C43456"/>
    <w:rsid w:val="00C44B58"/>
    <w:rsid w:val="00C47129"/>
    <w:rsid w:val="00C50036"/>
    <w:rsid w:val="00C50E5F"/>
    <w:rsid w:val="00C51D0D"/>
    <w:rsid w:val="00C51E97"/>
    <w:rsid w:val="00C54746"/>
    <w:rsid w:val="00C55195"/>
    <w:rsid w:val="00C560CA"/>
    <w:rsid w:val="00C570E3"/>
    <w:rsid w:val="00C57275"/>
    <w:rsid w:val="00C57393"/>
    <w:rsid w:val="00C5757E"/>
    <w:rsid w:val="00C576A8"/>
    <w:rsid w:val="00C621A2"/>
    <w:rsid w:val="00C632E9"/>
    <w:rsid w:val="00C639C3"/>
    <w:rsid w:val="00C64810"/>
    <w:rsid w:val="00C6653C"/>
    <w:rsid w:val="00C66CD8"/>
    <w:rsid w:val="00C7071A"/>
    <w:rsid w:val="00C70D99"/>
    <w:rsid w:val="00C740C0"/>
    <w:rsid w:val="00C74750"/>
    <w:rsid w:val="00C74E84"/>
    <w:rsid w:val="00C7678D"/>
    <w:rsid w:val="00C80287"/>
    <w:rsid w:val="00C8056B"/>
    <w:rsid w:val="00C80ABA"/>
    <w:rsid w:val="00C81551"/>
    <w:rsid w:val="00C822F2"/>
    <w:rsid w:val="00C825EC"/>
    <w:rsid w:val="00C83151"/>
    <w:rsid w:val="00C83362"/>
    <w:rsid w:val="00C83BAE"/>
    <w:rsid w:val="00C85505"/>
    <w:rsid w:val="00C87261"/>
    <w:rsid w:val="00C8755B"/>
    <w:rsid w:val="00C87F3D"/>
    <w:rsid w:val="00C90085"/>
    <w:rsid w:val="00C907B6"/>
    <w:rsid w:val="00C90B9E"/>
    <w:rsid w:val="00C931B1"/>
    <w:rsid w:val="00C9436D"/>
    <w:rsid w:val="00C94A7B"/>
    <w:rsid w:val="00C96525"/>
    <w:rsid w:val="00C96B89"/>
    <w:rsid w:val="00CA0500"/>
    <w:rsid w:val="00CA1570"/>
    <w:rsid w:val="00CA1E54"/>
    <w:rsid w:val="00CA2927"/>
    <w:rsid w:val="00CA34D5"/>
    <w:rsid w:val="00CA6149"/>
    <w:rsid w:val="00CA6AC2"/>
    <w:rsid w:val="00CA6F20"/>
    <w:rsid w:val="00CB392F"/>
    <w:rsid w:val="00CB3A1D"/>
    <w:rsid w:val="00CB46BF"/>
    <w:rsid w:val="00CB52B7"/>
    <w:rsid w:val="00CB53A3"/>
    <w:rsid w:val="00CB5AC5"/>
    <w:rsid w:val="00CB611A"/>
    <w:rsid w:val="00CB61E4"/>
    <w:rsid w:val="00CB6B7F"/>
    <w:rsid w:val="00CB79C4"/>
    <w:rsid w:val="00CC3790"/>
    <w:rsid w:val="00CC4531"/>
    <w:rsid w:val="00CC4C59"/>
    <w:rsid w:val="00CC5FF6"/>
    <w:rsid w:val="00CC63E2"/>
    <w:rsid w:val="00CC6458"/>
    <w:rsid w:val="00CC7655"/>
    <w:rsid w:val="00CC76D3"/>
    <w:rsid w:val="00CC773F"/>
    <w:rsid w:val="00CD038D"/>
    <w:rsid w:val="00CD1B49"/>
    <w:rsid w:val="00CD3A83"/>
    <w:rsid w:val="00CD4B53"/>
    <w:rsid w:val="00CD587B"/>
    <w:rsid w:val="00CD6392"/>
    <w:rsid w:val="00CD69F1"/>
    <w:rsid w:val="00CD7812"/>
    <w:rsid w:val="00CE3083"/>
    <w:rsid w:val="00CE35D8"/>
    <w:rsid w:val="00CE45D7"/>
    <w:rsid w:val="00CE47B2"/>
    <w:rsid w:val="00CE54F3"/>
    <w:rsid w:val="00CE5778"/>
    <w:rsid w:val="00CE5905"/>
    <w:rsid w:val="00CE6387"/>
    <w:rsid w:val="00CE65FC"/>
    <w:rsid w:val="00CF057A"/>
    <w:rsid w:val="00CF6E70"/>
    <w:rsid w:val="00D00179"/>
    <w:rsid w:val="00D02A98"/>
    <w:rsid w:val="00D038B1"/>
    <w:rsid w:val="00D069B6"/>
    <w:rsid w:val="00D072D6"/>
    <w:rsid w:val="00D1237A"/>
    <w:rsid w:val="00D12491"/>
    <w:rsid w:val="00D12780"/>
    <w:rsid w:val="00D14618"/>
    <w:rsid w:val="00D14B12"/>
    <w:rsid w:val="00D14B20"/>
    <w:rsid w:val="00D157C7"/>
    <w:rsid w:val="00D16893"/>
    <w:rsid w:val="00D17930"/>
    <w:rsid w:val="00D213D7"/>
    <w:rsid w:val="00D224DF"/>
    <w:rsid w:val="00D22526"/>
    <w:rsid w:val="00D22E37"/>
    <w:rsid w:val="00D268FC"/>
    <w:rsid w:val="00D27A29"/>
    <w:rsid w:val="00D304F4"/>
    <w:rsid w:val="00D30822"/>
    <w:rsid w:val="00D30D5B"/>
    <w:rsid w:val="00D30F55"/>
    <w:rsid w:val="00D3122A"/>
    <w:rsid w:val="00D31E98"/>
    <w:rsid w:val="00D322BC"/>
    <w:rsid w:val="00D322C2"/>
    <w:rsid w:val="00D3288B"/>
    <w:rsid w:val="00D33D06"/>
    <w:rsid w:val="00D3474F"/>
    <w:rsid w:val="00D36690"/>
    <w:rsid w:val="00D36B6B"/>
    <w:rsid w:val="00D3728F"/>
    <w:rsid w:val="00D37F5E"/>
    <w:rsid w:val="00D40AF8"/>
    <w:rsid w:val="00D41A9F"/>
    <w:rsid w:val="00D4315F"/>
    <w:rsid w:val="00D44ED3"/>
    <w:rsid w:val="00D45D4F"/>
    <w:rsid w:val="00D471B8"/>
    <w:rsid w:val="00D4744B"/>
    <w:rsid w:val="00D510A8"/>
    <w:rsid w:val="00D513D6"/>
    <w:rsid w:val="00D521C5"/>
    <w:rsid w:val="00D52492"/>
    <w:rsid w:val="00D5424E"/>
    <w:rsid w:val="00D54417"/>
    <w:rsid w:val="00D54821"/>
    <w:rsid w:val="00D551A6"/>
    <w:rsid w:val="00D55B54"/>
    <w:rsid w:val="00D55C80"/>
    <w:rsid w:val="00D55DF1"/>
    <w:rsid w:val="00D562DB"/>
    <w:rsid w:val="00D56358"/>
    <w:rsid w:val="00D57058"/>
    <w:rsid w:val="00D57329"/>
    <w:rsid w:val="00D61A1A"/>
    <w:rsid w:val="00D62455"/>
    <w:rsid w:val="00D66459"/>
    <w:rsid w:val="00D6649E"/>
    <w:rsid w:val="00D669D3"/>
    <w:rsid w:val="00D66D60"/>
    <w:rsid w:val="00D676CB"/>
    <w:rsid w:val="00D67CD9"/>
    <w:rsid w:val="00D67D33"/>
    <w:rsid w:val="00D7196C"/>
    <w:rsid w:val="00D7240D"/>
    <w:rsid w:val="00D72C62"/>
    <w:rsid w:val="00D74541"/>
    <w:rsid w:val="00D7505A"/>
    <w:rsid w:val="00D779BC"/>
    <w:rsid w:val="00D800FC"/>
    <w:rsid w:val="00D80588"/>
    <w:rsid w:val="00D8146A"/>
    <w:rsid w:val="00D82871"/>
    <w:rsid w:val="00D84B09"/>
    <w:rsid w:val="00D85FF6"/>
    <w:rsid w:val="00D91017"/>
    <w:rsid w:val="00D9111F"/>
    <w:rsid w:val="00D93FF3"/>
    <w:rsid w:val="00D947E5"/>
    <w:rsid w:val="00D94EA3"/>
    <w:rsid w:val="00D959E9"/>
    <w:rsid w:val="00DA1E72"/>
    <w:rsid w:val="00DA2CFB"/>
    <w:rsid w:val="00DA42A4"/>
    <w:rsid w:val="00DA644E"/>
    <w:rsid w:val="00DA65A2"/>
    <w:rsid w:val="00DA684F"/>
    <w:rsid w:val="00DA723B"/>
    <w:rsid w:val="00DA7FAB"/>
    <w:rsid w:val="00DA7FF0"/>
    <w:rsid w:val="00DB0ACE"/>
    <w:rsid w:val="00DB10AA"/>
    <w:rsid w:val="00DB30FB"/>
    <w:rsid w:val="00DB3219"/>
    <w:rsid w:val="00DB42BA"/>
    <w:rsid w:val="00DB45B9"/>
    <w:rsid w:val="00DB584F"/>
    <w:rsid w:val="00DB5E00"/>
    <w:rsid w:val="00DB64CE"/>
    <w:rsid w:val="00DB7276"/>
    <w:rsid w:val="00DB7748"/>
    <w:rsid w:val="00DC1C5C"/>
    <w:rsid w:val="00DC31D6"/>
    <w:rsid w:val="00DC4042"/>
    <w:rsid w:val="00DC5620"/>
    <w:rsid w:val="00DC5E9D"/>
    <w:rsid w:val="00DC692A"/>
    <w:rsid w:val="00DC726E"/>
    <w:rsid w:val="00DC749F"/>
    <w:rsid w:val="00DD0F54"/>
    <w:rsid w:val="00DD2BFD"/>
    <w:rsid w:val="00DD304F"/>
    <w:rsid w:val="00DD316E"/>
    <w:rsid w:val="00DD347E"/>
    <w:rsid w:val="00DD3D77"/>
    <w:rsid w:val="00DD4311"/>
    <w:rsid w:val="00DD6F76"/>
    <w:rsid w:val="00DD6FE0"/>
    <w:rsid w:val="00DD7122"/>
    <w:rsid w:val="00DE07DE"/>
    <w:rsid w:val="00DE19D0"/>
    <w:rsid w:val="00DE3714"/>
    <w:rsid w:val="00DE3A81"/>
    <w:rsid w:val="00DE5EBF"/>
    <w:rsid w:val="00DE6A8C"/>
    <w:rsid w:val="00DE6FC1"/>
    <w:rsid w:val="00DE7AA8"/>
    <w:rsid w:val="00DF0045"/>
    <w:rsid w:val="00DF028A"/>
    <w:rsid w:val="00DF46A1"/>
    <w:rsid w:val="00DF4C64"/>
    <w:rsid w:val="00DF4E8D"/>
    <w:rsid w:val="00DF50C8"/>
    <w:rsid w:val="00DF7491"/>
    <w:rsid w:val="00E00EE3"/>
    <w:rsid w:val="00E01185"/>
    <w:rsid w:val="00E01A3A"/>
    <w:rsid w:val="00E03850"/>
    <w:rsid w:val="00E04339"/>
    <w:rsid w:val="00E0516F"/>
    <w:rsid w:val="00E06126"/>
    <w:rsid w:val="00E0617C"/>
    <w:rsid w:val="00E066BC"/>
    <w:rsid w:val="00E06809"/>
    <w:rsid w:val="00E07AFB"/>
    <w:rsid w:val="00E10212"/>
    <w:rsid w:val="00E1074E"/>
    <w:rsid w:val="00E11788"/>
    <w:rsid w:val="00E11C64"/>
    <w:rsid w:val="00E11C9D"/>
    <w:rsid w:val="00E12068"/>
    <w:rsid w:val="00E12D0C"/>
    <w:rsid w:val="00E133E5"/>
    <w:rsid w:val="00E134D8"/>
    <w:rsid w:val="00E13CEC"/>
    <w:rsid w:val="00E14503"/>
    <w:rsid w:val="00E152AB"/>
    <w:rsid w:val="00E15743"/>
    <w:rsid w:val="00E16459"/>
    <w:rsid w:val="00E17D6F"/>
    <w:rsid w:val="00E22BB0"/>
    <w:rsid w:val="00E24F17"/>
    <w:rsid w:val="00E25D79"/>
    <w:rsid w:val="00E2712C"/>
    <w:rsid w:val="00E27238"/>
    <w:rsid w:val="00E272DB"/>
    <w:rsid w:val="00E27CF6"/>
    <w:rsid w:val="00E27D61"/>
    <w:rsid w:val="00E33816"/>
    <w:rsid w:val="00E35784"/>
    <w:rsid w:val="00E36F44"/>
    <w:rsid w:val="00E36FDB"/>
    <w:rsid w:val="00E371E9"/>
    <w:rsid w:val="00E4046F"/>
    <w:rsid w:val="00E409AB"/>
    <w:rsid w:val="00E41930"/>
    <w:rsid w:val="00E42131"/>
    <w:rsid w:val="00E427CF"/>
    <w:rsid w:val="00E430B1"/>
    <w:rsid w:val="00E43129"/>
    <w:rsid w:val="00E438FF"/>
    <w:rsid w:val="00E43EED"/>
    <w:rsid w:val="00E4458B"/>
    <w:rsid w:val="00E448D7"/>
    <w:rsid w:val="00E44EBA"/>
    <w:rsid w:val="00E47CB7"/>
    <w:rsid w:val="00E5156C"/>
    <w:rsid w:val="00E5488F"/>
    <w:rsid w:val="00E54C50"/>
    <w:rsid w:val="00E54F22"/>
    <w:rsid w:val="00E55205"/>
    <w:rsid w:val="00E55B58"/>
    <w:rsid w:val="00E57100"/>
    <w:rsid w:val="00E573F3"/>
    <w:rsid w:val="00E600CA"/>
    <w:rsid w:val="00E62CD6"/>
    <w:rsid w:val="00E62F20"/>
    <w:rsid w:val="00E63889"/>
    <w:rsid w:val="00E65CE5"/>
    <w:rsid w:val="00E65E2A"/>
    <w:rsid w:val="00E663B0"/>
    <w:rsid w:val="00E67399"/>
    <w:rsid w:val="00E67BA2"/>
    <w:rsid w:val="00E67D08"/>
    <w:rsid w:val="00E70CBA"/>
    <w:rsid w:val="00E70EEE"/>
    <w:rsid w:val="00E716AC"/>
    <w:rsid w:val="00E71F93"/>
    <w:rsid w:val="00E7203E"/>
    <w:rsid w:val="00E72455"/>
    <w:rsid w:val="00E7337C"/>
    <w:rsid w:val="00E73A12"/>
    <w:rsid w:val="00E73F7F"/>
    <w:rsid w:val="00E7591A"/>
    <w:rsid w:val="00E76AF8"/>
    <w:rsid w:val="00E800C5"/>
    <w:rsid w:val="00E80289"/>
    <w:rsid w:val="00E81233"/>
    <w:rsid w:val="00E81E66"/>
    <w:rsid w:val="00E821E2"/>
    <w:rsid w:val="00E82B67"/>
    <w:rsid w:val="00E8526B"/>
    <w:rsid w:val="00E852A8"/>
    <w:rsid w:val="00E90067"/>
    <w:rsid w:val="00E902AB"/>
    <w:rsid w:val="00E909F8"/>
    <w:rsid w:val="00E90D90"/>
    <w:rsid w:val="00E920A4"/>
    <w:rsid w:val="00E947B5"/>
    <w:rsid w:val="00E94870"/>
    <w:rsid w:val="00E95550"/>
    <w:rsid w:val="00E97051"/>
    <w:rsid w:val="00E97232"/>
    <w:rsid w:val="00E975B6"/>
    <w:rsid w:val="00EA1046"/>
    <w:rsid w:val="00EA1637"/>
    <w:rsid w:val="00EA35AB"/>
    <w:rsid w:val="00EA3BEC"/>
    <w:rsid w:val="00EA46A2"/>
    <w:rsid w:val="00EA495D"/>
    <w:rsid w:val="00EA58BE"/>
    <w:rsid w:val="00EA6521"/>
    <w:rsid w:val="00EA722F"/>
    <w:rsid w:val="00EB0A87"/>
    <w:rsid w:val="00EB0EEC"/>
    <w:rsid w:val="00EB1D0B"/>
    <w:rsid w:val="00EB22DD"/>
    <w:rsid w:val="00EB2406"/>
    <w:rsid w:val="00EB279B"/>
    <w:rsid w:val="00EB32CB"/>
    <w:rsid w:val="00EB3BA7"/>
    <w:rsid w:val="00EB3D51"/>
    <w:rsid w:val="00EB4E23"/>
    <w:rsid w:val="00EB4F6B"/>
    <w:rsid w:val="00EB5401"/>
    <w:rsid w:val="00EB7BAE"/>
    <w:rsid w:val="00EC1626"/>
    <w:rsid w:val="00EC1927"/>
    <w:rsid w:val="00EC1F36"/>
    <w:rsid w:val="00EC55DF"/>
    <w:rsid w:val="00EC716F"/>
    <w:rsid w:val="00EC76B5"/>
    <w:rsid w:val="00EC7985"/>
    <w:rsid w:val="00ED0483"/>
    <w:rsid w:val="00ED07A3"/>
    <w:rsid w:val="00ED0C58"/>
    <w:rsid w:val="00ED1262"/>
    <w:rsid w:val="00ED2F3F"/>
    <w:rsid w:val="00ED5273"/>
    <w:rsid w:val="00ED5E3C"/>
    <w:rsid w:val="00ED6C7D"/>
    <w:rsid w:val="00EE127C"/>
    <w:rsid w:val="00EE3D72"/>
    <w:rsid w:val="00EE4C47"/>
    <w:rsid w:val="00EE5937"/>
    <w:rsid w:val="00EF021B"/>
    <w:rsid w:val="00EF0628"/>
    <w:rsid w:val="00EF1C9A"/>
    <w:rsid w:val="00EF5480"/>
    <w:rsid w:val="00EF6FAE"/>
    <w:rsid w:val="00EF7316"/>
    <w:rsid w:val="00F007D2"/>
    <w:rsid w:val="00F01CE0"/>
    <w:rsid w:val="00F062DD"/>
    <w:rsid w:val="00F07D83"/>
    <w:rsid w:val="00F105A9"/>
    <w:rsid w:val="00F1390F"/>
    <w:rsid w:val="00F13B39"/>
    <w:rsid w:val="00F14352"/>
    <w:rsid w:val="00F160BD"/>
    <w:rsid w:val="00F1654E"/>
    <w:rsid w:val="00F17606"/>
    <w:rsid w:val="00F201A6"/>
    <w:rsid w:val="00F20E6E"/>
    <w:rsid w:val="00F21807"/>
    <w:rsid w:val="00F21934"/>
    <w:rsid w:val="00F23485"/>
    <w:rsid w:val="00F235D4"/>
    <w:rsid w:val="00F2423A"/>
    <w:rsid w:val="00F24520"/>
    <w:rsid w:val="00F256CD"/>
    <w:rsid w:val="00F26628"/>
    <w:rsid w:val="00F26D32"/>
    <w:rsid w:val="00F26DA0"/>
    <w:rsid w:val="00F27754"/>
    <w:rsid w:val="00F306B3"/>
    <w:rsid w:val="00F31D43"/>
    <w:rsid w:val="00F3261F"/>
    <w:rsid w:val="00F32A2D"/>
    <w:rsid w:val="00F33204"/>
    <w:rsid w:val="00F33F1B"/>
    <w:rsid w:val="00F34FC0"/>
    <w:rsid w:val="00F357A2"/>
    <w:rsid w:val="00F358A6"/>
    <w:rsid w:val="00F35FB7"/>
    <w:rsid w:val="00F35FFA"/>
    <w:rsid w:val="00F40BD3"/>
    <w:rsid w:val="00F413FF"/>
    <w:rsid w:val="00F435A3"/>
    <w:rsid w:val="00F46BD0"/>
    <w:rsid w:val="00F502EF"/>
    <w:rsid w:val="00F50F4B"/>
    <w:rsid w:val="00F51303"/>
    <w:rsid w:val="00F5160F"/>
    <w:rsid w:val="00F54A5E"/>
    <w:rsid w:val="00F56A84"/>
    <w:rsid w:val="00F57D6C"/>
    <w:rsid w:val="00F62286"/>
    <w:rsid w:val="00F62694"/>
    <w:rsid w:val="00F62D2A"/>
    <w:rsid w:val="00F63356"/>
    <w:rsid w:val="00F636FD"/>
    <w:rsid w:val="00F639D5"/>
    <w:rsid w:val="00F64082"/>
    <w:rsid w:val="00F64F86"/>
    <w:rsid w:val="00F65102"/>
    <w:rsid w:val="00F6698A"/>
    <w:rsid w:val="00F700AB"/>
    <w:rsid w:val="00F70508"/>
    <w:rsid w:val="00F71859"/>
    <w:rsid w:val="00F71F34"/>
    <w:rsid w:val="00F73462"/>
    <w:rsid w:val="00F740E3"/>
    <w:rsid w:val="00F74C0E"/>
    <w:rsid w:val="00F76E3E"/>
    <w:rsid w:val="00F77DB2"/>
    <w:rsid w:val="00F85537"/>
    <w:rsid w:val="00F86B0D"/>
    <w:rsid w:val="00F8747B"/>
    <w:rsid w:val="00F91EDE"/>
    <w:rsid w:val="00F92EA8"/>
    <w:rsid w:val="00F9384F"/>
    <w:rsid w:val="00F95B21"/>
    <w:rsid w:val="00F95DB4"/>
    <w:rsid w:val="00F97819"/>
    <w:rsid w:val="00FA0B1F"/>
    <w:rsid w:val="00FA0C74"/>
    <w:rsid w:val="00FA178A"/>
    <w:rsid w:val="00FA1F0F"/>
    <w:rsid w:val="00FA2B3F"/>
    <w:rsid w:val="00FA2B48"/>
    <w:rsid w:val="00FA3E8D"/>
    <w:rsid w:val="00FA4EBD"/>
    <w:rsid w:val="00FA4EE7"/>
    <w:rsid w:val="00FA501F"/>
    <w:rsid w:val="00FA50CC"/>
    <w:rsid w:val="00FA51A1"/>
    <w:rsid w:val="00FA6BC9"/>
    <w:rsid w:val="00FA7E1D"/>
    <w:rsid w:val="00FA7F0D"/>
    <w:rsid w:val="00FB0127"/>
    <w:rsid w:val="00FB0D84"/>
    <w:rsid w:val="00FB17D3"/>
    <w:rsid w:val="00FB30A5"/>
    <w:rsid w:val="00FB3324"/>
    <w:rsid w:val="00FB492E"/>
    <w:rsid w:val="00FB4D15"/>
    <w:rsid w:val="00FB4D57"/>
    <w:rsid w:val="00FB55C8"/>
    <w:rsid w:val="00FB5F8F"/>
    <w:rsid w:val="00FB6BB5"/>
    <w:rsid w:val="00FB6FD0"/>
    <w:rsid w:val="00FC09D1"/>
    <w:rsid w:val="00FC2E27"/>
    <w:rsid w:val="00FC30B6"/>
    <w:rsid w:val="00FC3327"/>
    <w:rsid w:val="00FC37E9"/>
    <w:rsid w:val="00FC5669"/>
    <w:rsid w:val="00FC5C4F"/>
    <w:rsid w:val="00FC7807"/>
    <w:rsid w:val="00FD0638"/>
    <w:rsid w:val="00FD3538"/>
    <w:rsid w:val="00FD428A"/>
    <w:rsid w:val="00FD4B8C"/>
    <w:rsid w:val="00FD626C"/>
    <w:rsid w:val="00FD65D4"/>
    <w:rsid w:val="00FD6F4B"/>
    <w:rsid w:val="00FE0347"/>
    <w:rsid w:val="00FE1953"/>
    <w:rsid w:val="00FE24DE"/>
    <w:rsid w:val="00FE251A"/>
    <w:rsid w:val="00FE2C37"/>
    <w:rsid w:val="00FE2C94"/>
    <w:rsid w:val="00FE2F45"/>
    <w:rsid w:val="00FE33A7"/>
    <w:rsid w:val="00FE46F9"/>
    <w:rsid w:val="00FE4A65"/>
    <w:rsid w:val="00FE4CAF"/>
    <w:rsid w:val="00FE5E6D"/>
    <w:rsid w:val="00FE64DC"/>
    <w:rsid w:val="00FE6B33"/>
    <w:rsid w:val="00FE6E60"/>
    <w:rsid w:val="00FF033E"/>
    <w:rsid w:val="00FF0619"/>
    <w:rsid w:val="00FF0861"/>
    <w:rsid w:val="00FF093F"/>
    <w:rsid w:val="00FF0A1B"/>
    <w:rsid w:val="00FF0CD9"/>
    <w:rsid w:val="00FF0D81"/>
    <w:rsid w:val="00FF12B6"/>
    <w:rsid w:val="00FF1F4C"/>
    <w:rsid w:val="00FF2007"/>
    <w:rsid w:val="00FF2238"/>
    <w:rsid w:val="00FF390E"/>
    <w:rsid w:val="00FF4558"/>
    <w:rsid w:val="00FF4E2B"/>
    <w:rsid w:val="00FF55F1"/>
    <w:rsid w:val="00FF57B8"/>
    <w:rsid w:val="00FF590D"/>
    <w:rsid w:val="00FF76D4"/>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7DA8"/>
  <w15:docId w15:val="{BE208D16-EDF8-4FD9-AAA1-5066EA7A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463"/>
  </w:style>
  <w:style w:type="paragraph" w:styleId="Heading1">
    <w:name w:val="heading 1"/>
    <w:basedOn w:val="Normal"/>
    <w:next w:val="Normal"/>
    <w:link w:val="Heading1Char"/>
    <w:uiPriority w:val="9"/>
    <w:qFormat/>
    <w:rsid w:val="00A734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1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88F"/>
    <w:pPr>
      <w:ind w:left="720"/>
      <w:contextualSpacing/>
    </w:pPr>
  </w:style>
  <w:style w:type="character" w:styleId="Hyperlink">
    <w:name w:val="Hyperlink"/>
    <w:basedOn w:val="DefaultParagraphFont"/>
    <w:uiPriority w:val="99"/>
    <w:unhideWhenUsed/>
    <w:rsid w:val="001A0B0C"/>
    <w:rPr>
      <w:color w:val="0563C1" w:themeColor="hyperlink"/>
      <w:u w:val="single"/>
    </w:rPr>
  </w:style>
  <w:style w:type="character" w:styleId="UnresolvedMention">
    <w:name w:val="Unresolved Mention"/>
    <w:basedOn w:val="DefaultParagraphFont"/>
    <w:uiPriority w:val="99"/>
    <w:semiHidden/>
    <w:unhideWhenUsed/>
    <w:rsid w:val="001A0B0C"/>
    <w:rPr>
      <w:color w:val="605E5C"/>
      <w:shd w:val="clear" w:color="auto" w:fill="E1DFDD"/>
    </w:rPr>
  </w:style>
  <w:style w:type="character" w:styleId="FollowedHyperlink">
    <w:name w:val="FollowedHyperlink"/>
    <w:basedOn w:val="DefaultParagraphFont"/>
    <w:uiPriority w:val="99"/>
    <w:semiHidden/>
    <w:unhideWhenUsed/>
    <w:rsid w:val="00C57275"/>
    <w:rPr>
      <w:color w:val="954F72" w:themeColor="followedHyperlink"/>
      <w:u w:val="single"/>
    </w:rPr>
  </w:style>
  <w:style w:type="paragraph" w:styleId="Header">
    <w:name w:val="header"/>
    <w:basedOn w:val="Normal"/>
    <w:link w:val="HeaderChar"/>
    <w:uiPriority w:val="99"/>
    <w:unhideWhenUsed/>
    <w:rsid w:val="00AB7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E8"/>
  </w:style>
  <w:style w:type="paragraph" w:styleId="Footer">
    <w:name w:val="footer"/>
    <w:basedOn w:val="Normal"/>
    <w:link w:val="FooterChar"/>
    <w:uiPriority w:val="99"/>
    <w:unhideWhenUsed/>
    <w:rsid w:val="00AB7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E8"/>
  </w:style>
  <w:style w:type="paragraph" w:styleId="NormalWeb">
    <w:name w:val="Normal (Web)"/>
    <w:basedOn w:val="Normal"/>
    <w:uiPriority w:val="99"/>
    <w:unhideWhenUsed/>
    <w:rsid w:val="004C06C9"/>
    <w:rPr>
      <w:rFonts w:ascii="Times New Roman" w:hAnsi="Times New Roman" w:cs="Times New Roman"/>
      <w:sz w:val="24"/>
      <w:szCs w:val="24"/>
    </w:rPr>
  </w:style>
  <w:style w:type="character" w:styleId="Strong">
    <w:name w:val="Strong"/>
    <w:basedOn w:val="DefaultParagraphFont"/>
    <w:uiPriority w:val="22"/>
    <w:qFormat/>
    <w:rsid w:val="00375F87"/>
    <w:rPr>
      <w:b/>
      <w:bCs/>
    </w:rPr>
  </w:style>
  <w:style w:type="paragraph" w:styleId="NoSpacing">
    <w:name w:val="No Spacing"/>
    <w:uiPriority w:val="1"/>
    <w:qFormat/>
    <w:rsid w:val="00E73F7F"/>
    <w:pPr>
      <w:spacing w:after="0" w:line="240" w:lineRule="auto"/>
    </w:pPr>
  </w:style>
  <w:style w:type="paragraph" w:styleId="Revision">
    <w:name w:val="Revision"/>
    <w:hidden/>
    <w:uiPriority w:val="99"/>
    <w:semiHidden/>
    <w:rsid w:val="000B72EF"/>
    <w:pPr>
      <w:spacing w:after="0" w:line="240" w:lineRule="auto"/>
    </w:pPr>
  </w:style>
  <w:style w:type="character" w:customStyle="1" w:styleId="Heading2Char">
    <w:name w:val="Heading 2 Char"/>
    <w:basedOn w:val="DefaultParagraphFont"/>
    <w:link w:val="Heading2"/>
    <w:uiPriority w:val="9"/>
    <w:semiHidden/>
    <w:rsid w:val="004E174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734B0"/>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54004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2607">
      <w:bodyDiv w:val="1"/>
      <w:marLeft w:val="0"/>
      <w:marRight w:val="0"/>
      <w:marTop w:val="0"/>
      <w:marBottom w:val="0"/>
      <w:divBdr>
        <w:top w:val="none" w:sz="0" w:space="0" w:color="auto"/>
        <w:left w:val="none" w:sz="0" w:space="0" w:color="auto"/>
        <w:bottom w:val="none" w:sz="0" w:space="0" w:color="auto"/>
        <w:right w:val="none" w:sz="0" w:space="0" w:color="auto"/>
      </w:divBdr>
    </w:div>
    <w:div w:id="60493494">
      <w:bodyDiv w:val="1"/>
      <w:marLeft w:val="0"/>
      <w:marRight w:val="0"/>
      <w:marTop w:val="0"/>
      <w:marBottom w:val="0"/>
      <w:divBdr>
        <w:top w:val="none" w:sz="0" w:space="0" w:color="auto"/>
        <w:left w:val="none" w:sz="0" w:space="0" w:color="auto"/>
        <w:bottom w:val="none" w:sz="0" w:space="0" w:color="auto"/>
        <w:right w:val="none" w:sz="0" w:space="0" w:color="auto"/>
      </w:divBdr>
    </w:div>
    <w:div w:id="92941961">
      <w:bodyDiv w:val="1"/>
      <w:marLeft w:val="0"/>
      <w:marRight w:val="0"/>
      <w:marTop w:val="0"/>
      <w:marBottom w:val="0"/>
      <w:divBdr>
        <w:top w:val="none" w:sz="0" w:space="0" w:color="auto"/>
        <w:left w:val="none" w:sz="0" w:space="0" w:color="auto"/>
        <w:bottom w:val="none" w:sz="0" w:space="0" w:color="auto"/>
        <w:right w:val="none" w:sz="0" w:space="0" w:color="auto"/>
      </w:divBdr>
    </w:div>
    <w:div w:id="146286429">
      <w:bodyDiv w:val="1"/>
      <w:marLeft w:val="0"/>
      <w:marRight w:val="0"/>
      <w:marTop w:val="0"/>
      <w:marBottom w:val="0"/>
      <w:divBdr>
        <w:top w:val="none" w:sz="0" w:space="0" w:color="auto"/>
        <w:left w:val="none" w:sz="0" w:space="0" w:color="auto"/>
        <w:bottom w:val="none" w:sz="0" w:space="0" w:color="auto"/>
        <w:right w:val="none" w:sz="0" w:space="0" w:color="auto"/>
      </w:divBdr>
    </w:div>
    <w:div w:id="169831045">
      <w:bodyDiv w:val="1"/>
      <w:marLeft w:val="0"/>
      <w:marRight w:val="0"/>
      <w:marTop w:val="0"/>
      <w:marBottom w:val="0"/>
      <w:divBdr>
        <w:top w:val="none" w:sz="0" w:space="0" w:color="auto"/>
        <w:left w:val="none" w:sz="0" w:space="0" w:color="auto"/>
        <w:bottom w:val="none" w:sz="0" w:space="0" w:color="auto"/>
        <w:right w:val="none" w:sz="0" w:space="0" w:color="auto"/>
      </w:divBdr>
      <w:divsChild>
        <w:div w:id="1667005739">
          <w:marLeft w:val="0"/>
          <w:marRight w:val="0"/>
          <w:marTop w:val="0"/>
          <w:marBottom w:val="0"/>
          <w:divBdr>
            <w:top w:val="none" w:sz="0" w:space="0" w:color="auto"/>
            <w:left w:val="none" w:sz="0" w:space="0" w:color="auto"/>
            <w:bottom w:val="none" w:sz="0" w:space="0" w:color="auto"/>
            <w:right w:val="none" w:sz="0" w:space="0" w:color="auto"/>
          </w:divBdr>
        </w:div>
        <w:div w:id="139810425">
          <w:marLeft w:val="0"/>
          <w:marRight w:val="0"/>
          <w:marTop w:val="0"/>
          <w:marBottom w:val="0"/>
          <w:divBdr>
            <w:top w:val="none" w:sz="0" w:space="0" w:color="auto"/>
            <w:left w:val="none" w:sz="0" w:space="0" w:color="auto"/>
            <w:bottom w:val="none" w:sz="0" w:space="0" w:color="auto"/>
            <w:right w:val="none" w:sz="0" w:space="0" w:color="auto"/>
          </w:divBdr>
        </w:div>
      </w:divsChild>
    </w:div>
    <w:div w:id="174077880">
      <w:bodyDiv w:val="1"/>
      <w:marLeft w:val="0"/>
      <w:marRight w:val="0"/>
      <w:marTop w:val="0"/>
      <w:marBottom w:val="0"/>
      <w:divBdr>
        <w:top w:val="none" w:sz="0" w:space="0" w:color="auto"/>
        <w:left w:val="none" w:sz="0" w:space="0" w:color="auto"/>
        <w:bottom w:val="none" w:sz="0" w:space="0" w:color="auto"/>
        <w:right w:val="none" w:sz="0" w:space="0" w:color="auto"/>
      </w:divBdr>
    </w:div>
    <w:div w:id="176700477">
      <w:bodyDiv w:val="1"/>
      <w:marLeft w:val="0"/>
      <w:marRight w:val="0"/>
      <w:marTop w:val="0"/>
      <w:marBottom w:val="0"/>
      <w:divBdr>
        <w:top w:val="none" w:sz="0" w:space="0" w:color="auto"/>
        <w:left w:val="none" w:sz="0" w:space="0" w:color="auto"/>
        <w:bottom w:val="none" w:sz="0" w:space="0" w:color="auto"/>
        <w:right w:val="none" w:sz="0" w:space="0" w:color="auto"/>
      </w:divBdr>
    </w:div>
    <w:div w:id="182863302">
      <w:bodyDiv w:val="1"/>
      <w:marLeft w:val="0"/>
      <w:marRight w:val="0"/>
      <w:marTop w:val="0"/>
      <w:marBottom w:val="0"/>
      <w:divBdr>
        <w:top w:val="none" w:sz="0" w:space="0" w:color="auto"/>
        <w:left w:val="none" w:sz="0" w:space="0" w:color="auto"/>
        <w:bottom w:val="none" w:sz="0" w:space="0" w:color="auto"/>
        <w:right w:val="none" w:sz="0" w:space="0" w:color="auto"/>
      </w:divBdr>
    </w:div>
    <w:div w:id="216864169">
      <w:bodyDiv w:val="1"/>
      <w:marLeft w:val="0"/>
      <w:marRight w:val="0"/>
      <w:marTop w:val="0"/>
      <w:marBottom w:val="0"/>
      <w:divBdr>
        <w:top w:val="none" w:sz="0" w:space="0" w:color="auto"/>
        <w:left w:val="none" w:sz="0" w:space="0" w:color="auto"/>
        <w:bottom w:val="none" w:sz="0" w:space="0" w:color="auto"/>
        <w:right w:val="none" w:sz="0" w:space="0" w:color="auto"/>
      </w:divBdr>
    </w:div>
    <w:div w:id="228806203">
      <w:bodyDiv w:val="1"/>
      <w:marLeft w:val="0"/>
      <w:marRight w:val="0"/>
      <w:marTop w:val="0"/>
      <w:marBottom w:val="0"/>
      <w:divBdr>
        <w:top w:val="none" w:sz="0" w:space="0" w:color="auto"/>
        <w:left w:val="none" w:sz="0" w:space="0" w:color="auto"/>
        <w:bottom w:val="none" w:sz="0" w:space="0" w:color="auto"/>
        <w:right w:val="none" w:sz="0" w:space="0" w:color="auto"/>
      </w:divBdr>
    </w:div>
    <w:div w:id="232157117">
      <w:bodyDiv w:val="1"/>
      <w:marLeft w:val="0"/>
      <w:marRight w:val="0"/>
      <w:marTop w:val="0"/>
      <w:marBottom w:val="0"/>
      <w:divBdr>
        <w:top w:val="none" w:sz="0" w:space="0" w:color="auto"/>
        <w:left w:val="none" w:sz="0" w:space="0" w:color="auto"/>
        <w:bottom w:val="none" w:sz="0" w:space="0" w:color="auto"/>
        <w:right w:val="none" w:sz="0" w:space="0" w:color="auto"/>
      </w:divBdr>
    </w:div>
    <w:div w:id="267391136">
      <w:bodyDiv w:val="1"/>
      <w:marLeft w:val="0"/>
      <w:marRight w:val="0"/>
      <w:marTop w:val="0"/>
      <w:marBottom w:val="0"/>
      <w:divBdr>
        <w:top w:val="none" w:sz="0" w:space="0" w:color="auto"/>
        <w:left w:val="none" w:sz="0" w:space="0" w:color="auto"/>
        <w:bottom w:val="none" w:sz="0" w:space="0" w:color="auto"/>
        <w:right w:val="none" w:sz="0" w:space="0" w:color="auto"/>
      </w:divBdr>
    </w:div>
    <w:div w:id="299263955">
      <w:bodyDiv w:val="1"/>
      <w:marLeft w:val="0"/>
      <w:marRight w:val="0"/>
      <w:marTop w:val="0"/>
      <w:marBottom w:val="0"/>
      <w:divBdr>
        <w:top w:val="none" w:sz="0" w:space="0" w:color="auto"/>
        <w:left w:val="none" w:sz="0" w:space="0" w:color="auto"/>
        <w:bottom w:val="none" w:sz="0" w:space="0" w:color="auto"/>
        <w:right w:val="none" w:sz="0" w:space="0" w:color="auto"/>
      </w:divBdr>
    </w:div>
    <w:div w:id="321275981">
      <w:bodyDiv w:val="1"/>
      <w:marLeft w:val="0"/>
      <w:marRight w:val="0"/>
      <w:marTop w:val="0"/>
      <w:marBottom w:val="0"/>
      <w:divBdr>
        <w:top w:val="none" w:sz="0" w:space="0" w:color="auto"/>
        <w:left w:val="none" w:sz="0" w:space="0" w:color="auto"/>
        <w:bottom w:val="none" w:sz="0" w:space="0" w:color="auto"/>
        <w:right w:val="none" w:sz="0" w:space="0" w:color="auto"/>
      </w:divBdr>
    </w:div>
    <w:div w:id="332488491">
      <w:bodyDiv w:val="1"/>
      <w:marLeft w:val="0"/>
      <w:marRight w:val="0"/>
      <w:marTop w:val="0"/>
      <w:marBottom w:val="0"/>
      <w:divBdr>
        <w:top w:val="none" w:sz="0" w:space="0" w:color="auto"/>
        <w:left w:val="none" w:sz="0" w:space="0" w:color="auto"/>
        <w:bottom w:val="none" w:sz="0" w:space="0" w:color="auto"/>
        <w:right w:val="none" w:sz="0" w:space="0" w:color="auto"/>
      </w:divBdr>
    </w:div>
    <w:div w:id="342171248">
      <w:bodyDiv w:val="1"/>
      <w:marLeft w:val="0"/>
      <w:marRight w:val="0"/>
      <w:marTop w:val="0"/>
      <w:marBottom w:val="0"/>
      <w:divBdr>
        <w:top w:val="none" w:sz="0" w:space="0" w:color="auto"/>
        <w:left w:val="none" w:sz="0" w:space="0" w:color="auto"/>
        <w:bottom w:val="none" w:sz="0" w:space="0" w:color="auto"/>
        <w:right w:val="none" w:sz="0" w:space="0" w:color="auto"/>
      </w:divBdr>
    </w:div>
    <w:div w:id="375663760">
      <w:bodyDiv w:val="1"/>
      <w:marLeft w:val="0"/>
      <w:marRight w:val="0"/>
      <w:marTop w:val="0"/>
      <w:marBottom w:val="0"/>
      <w:divBdr>
        <w:top w:val="none" w:sz="0" w:space="0" w:color="auto"/>
        <w:left w:val="none" w:sz="0" w:space="0" w:color="auto"/>
        <w:bottom w:val="none" w:sz="0" w:space="0" w:color="auto"/>
        <w:right w:val="none" w:sz="0" w:space="0" w:color="auto"/>
      </w:divBdr>
    </w:div>
    <w:div w:id="380713655">
      <w:bodyDiv w:val="1"/>
      <w:marLeft w:val="0"/>
      <w:marRight w:val="0"/>
      <w:marTop w:val="0"/>
      <w:marBottom w:val="0"/>
      <w:divBdr>
        <w:top w:val="none" w:sz="0" w:space="0" w:color="auto"/>
        <w:left w:val="none" w:sz="0" w:space="0" w:color="auto"/>
        <w:bottom w:val="none" w:sz="0" w:space="0" w:color="auto"/>
        <w:right w:val="none" w:sz="0" w:space="0" w:color="auto"/>
      </w:divBdr>
    </w:div>
    <w:div w:id="383679389">
      <w:bodyDiv w:val="1"/>
      <w:marLeft w:val="0"/>
      <w:marRight w:val="0"/>
      <w:marTop w:val="0"/>
      <w:marBottom w:val="0"/>
      <w:divBdr>
        <w:top w:val="none" w:sz="0" w:space="0" w:color="auto"/>
        <w:left w:val="none" w:sz="0" w:space="0" w:color="auto"/>
        <w:bottom w:val="none" w:sz="0" w:space="0" w:color="auto"/>
        <w:right w:val="none" w:sz="0" w:space="0" w:color="auto"/>
      </w:divBdr>
    </w:div>
    <w:div w:id="401804763">
      <w:bodyDiv w:val="1"/>
      <w:marLeft w:val="0"/>
      <w:marRight w:val="0"/>
      <w:marTop w:val="0"/>
      <w:marBottom w:val="0"/>
      <w:divBdr>
        <w:top w:val="none" w:sz="0" w:space="0" w:color="auto"/>
        <w:left w:val="none" w:sz="0" w:space="0" w:color="auto"/>
        <w:bottom w:val="none" w:sz="0" w:space="0" w:color="auto"/>
        <w:right w:val="none" w:sz="0" w:space="0" w:color="auto"/>
      </w:divBdr>
    </w:div>
    <w:div w:id="403379001">
      <w:bodyDiv w:val="1"/>
      <w:marLeft w:val="0"/>
      <w:marRight w:val="0"/>
      <w:marTop w:val="0"/>
      <w:marBottom w:val="0"/>
      <w:divBdr>
        <w:top w:val="none" w:sz="0" w:space="0" w:color="auto"/>
        <w:left w:val="none" w:sz="0" w:space="0" w:color="auto"/>
        <w:bottom w:val="none" w:sz="0" w:space="0" w:color="auto"/>
        <w:right w:val="none" w:sz="0" w:space="0" w:color="auto"/>
      </w:divBdr>
      <w:divsChild>
        <w:div w:id="798718191">
          <w:marLeft w:val="0"/>
          <w:marRight w:val="0"/>
          <w:marTop w:val="0"/>
          <w:marBottom w:val="0"/>
          <w:divBdr>
            <w:top w:val="none" w:sz="0" w:space="0" w:color="auto"/>
            <w:left w:val="none" w:sz="0" w:space="0" w:color="auto"/>
            <w:bottom w:val="none" w:sz="0" w:space="0" w:color="auto"/>
            <w:right w:val="none" w:sz="0" w:space="0" w:color="auto"/>
          </w:divBdr>
        </w:div>
      </w:divsChild>
    </w:div>
    <w:div w:id="410127953">
      <w:bodyDiv w:val="1"/>
      <w:marLeft w:val="0"/>
      <w:marRight w:val="0"/>
      <w:marTop w:val="0"/>
      <w:marBottom w:val="0"/>
      <w:divBdr>
        <w:top w:val="none" w:sz="0" w:space="0" w:color="auto"/>
        <w:left w:val="none" w:sz="0" w:space="0" w:color="auto"/>
        <w:bottom w:val="none" w:sz="0" w:space="0" w:color="auto"/>
        <w:right w:val="none" w:sz="0" w:space="0" w:color="auto"/>
      </w:divBdr>
    </w:div>
    <w:div w:id="449518227">
      <w:bodyDiv w:val="1"/>
      <w:marLeft w:val="0"/>
      <w:marRight w:val="0"/>
      <w:marTop w:val="0"/>
      <w:marBottom w:val="0"/>
      <w:divBdr>
        <w:top w:val="none" w:sz="0" w:space="0" w:color="auto"/>
        <w:left w:val="none" w:sz="0" w:space="0" w:color="auto"/>
        <w:bottom w:val="none" w:sz="0" w:space="0" w:color="auto"/>
        <w:right w:val="none" w:sz="0" w:space="0" w:color="auto"/>
      </w:divBdr>
    </w:div>
    <w:div w:id="476579159">
      <w:bodyDiv w:val="1"/>
      <w:marLeft w:val="0"/>
      <w:marRight w:val="0"/>
      <w:marTop w:val="0"/>
      <w:marBottom w:val="0"/>
      <w:divBdr>
        <w:top w:val="none" w:sz="0" w:space="0" w:color="auto"/>
        <w:left w:val="none" w:sz="0" w:space="0" w:color="auto"/>
        <w:bottom w:val="none" w:sz="0" w:space="0" w:color="auto"/>
        <w:right w:val="none" w:sz="0" w:space="0" w:color="auto"/>
      </w:divBdr>
    </w:div>
    <w:div w:id="501895826">
      <w:bodyDiv w:val="1"/>
      <w:marLeft w:val="0"/>
      <w:marRight w:val="0"/>
      <w:marTop w:val="0"/>
      <w:marBottom w:val="0"/>
      <w:divBdr>
        <w:top w:val="none" w:sz="0" w:space="0" w:color="auto"/>
        <w:left w:val="none" w:sz="0" w:space="0" w:color="auto"/>
        <w:bottom w:val="none" w:sz="0" w:space="0" w:color="auto"/>
        <w:right w:val="none" w:sz="0" w:space="0" w:color="auto"/>
      </w:divBdr>
    </w:div>
    <w:div w:id="523175240">
      <w:bodyDiv w:val="1"/>
      <w:marLeft w:val="0"/>
      <w:marRight w:val="0"/>
      <w:marTop w:val="0"/>
      <w:marBottom w:val="0"/>
      <w:divBdr>
        <w:top w:val="none" w:sz="0" w:space="0" w:color="auto"/>
        <w:left w:val="none" w:sz="0" w:space="0" w:color="auto"/>
        <w:bottom w:val="none" w:sz="0" w:space="0" w:color="auto"/>
        <w:right w:val="none" w:sz="0" w:space="0" w:color="auto"/>
      </w:divBdr>
    </w:div>
    <w:div w:id="529270756">
      <w:bodyDiv w:val="1"/>
      <w:marLeft w:val="0"/>
      <w:marRight w:val="0"/>
      <w:marTop w:val="0"/>
      <w:marBottom w:val="0"/>
      <w:divBdr>
        <w:top w:val="none" w:sz="0" w:space="0" w:color="auto"/>
        <w:left w:val="none" w:sz="0" w:space="0" w:color="auto"/>
        <w:bottom w:val="none" w:sz="0" w:space="0" w:color="auto"/>
        <w:right w:val="none" w:sz="0" w:space="0" w:color="auto"/>
      </w:divBdr>
    </w:div>
    <w:div w:id="540478499">
      <w:bodyDiv w:val="1"/>
      <w:marLeft w:val="0"/>
      <w:marRight w:val="0"/>
      <w:marTop w:val="0"/>
      <w:marBottom w:val="0"/>
      <w:divBdr>
        <w:top w:val="none" w:sz="0" w:space="0" w:color="auto"/>
        <w:left w:val="none" w:sz="0" w:space="0" w:color="auto"/>
        <w:bottom w:val="none" w:sz="0" w:space="0" w:color="auto"/>
        <w:right w:val="none" w:sz="0" w:space="0" w:color="auto"/>
      </w:divBdr>
    </w:div>
    <w:div w:id="562835610">
      <w:bodyDiv w:val="1"/>
      <w:marLeft w:val="0"/>
      <w:marRight w:val="0"/>
      <w:marTop w:val="0"/>
      <w:marBottom w:val="0"/>
      <w:divBdr>
        <w:top w:val="none" w:sz="0" w:space="0" w:color="auto"/>
        <w:left w:val="none" w:sz="0" w:space="0" w:color="auto"/>
        <w:bottom w:val="none" w:sz="0" w:space="0" w:color="auto"/>
        <w:right w:val="none" w:sz="0" w:space="0" w:color="auto"/>
      </w:divBdr>
    </w:div>
    <w:div w:id="587427039">
      <w:bodyDiv w:val="1"/>
      <w:marLeft w:val="0"/>
      <w:marRight w:val="0"/>
      <w:marTop w:val="0"/>
      <w:marBottom w:val="0"/>
      <w:divBdr>
        <w:top w:val="none" w:sz="0" w:space="0" w:color="auto"/>
        <w:left w:val="none" w:sz="0" w:space="0" w:color="auto"/>
        <w:bottom w:val="none" w:sz="0" w:space="0" w:color="auto"/>
        <w:right w:val="none" w:sz="0" w:space="0" w:color="auto"/>
      </w:divBdr>
    </w:div>
    <w:div w:id="601107618">
      <w:bodyDiv w:val="1"/>
      <w:marLeft w:val="0"/>
      <w:marRight w:val="0"/>
      <w:marTop w:val="0"/>
      <w:marBottom w:val="0"/>
      <w:divBdr>
        <w:top w:val="none" w:sz="0" w:space="0" w:color="auto"/>
        <w:left w:val="none" w:sz="0" w:space="0" w:color="auto"/>
        <w:bottom w:val="none" w:sz="0" w:space="0" w:color="auto"/>
        <w:right w:val="none" w:sz="0" w:space="0" w:color="auto"/>
      </w:divBdr>
    </w:div>
    <w:div w:id="601375935">
      <w:bodyDiv w:val="1"/>
      <w:marLeft w:val="0"/>
      <w:marRight w:val="0"/>
      <w:marTop w:val="0"/>
      <w:marBottom w:val="0"/>
      <w:divBdr>
        <w:top w:val="none" w:sz="0" w:space="0" w:color="auto"/>
        <w:left w:val="none" w:sz="0" w:space="0" w:color="auto"/>
        <w:bottom w:val="none" w:sz="0" w:space="0" w:color="auto"/>
        <w:right w:val="none" w:sz="0" w:space="0" w:color="auto"/>
      </w:divBdr>
    </w:div>
    <w:div w:id="626854476">
      <w:bodyDiv w:val="1"/>
      <w:marLeft w:val="0"/>
      <w:marRight w:val="0"/>
      <w:marTop w:val="0"/>
      <w:marBottom w:val="0"/>
      <w:divBdr>
        <w:top w:val="none" w:sz="0" w:space="0" w:color="auto"/>
        <w:left w:val="none" w:sz="0" w:space="0" w:color="auto"/>
        <w:bottom w:val="none" w:sz="0" w:space="0" w:color="auto"/>
        <w:right w:val="none" w:sz="0" w:space="0" w:color="auto"/>
      </w:divBdr>
    </w:div>
    <w:div w:id="642003822">
      <w:bodyDiv w:val="1"/>
      <w:marLeft w:val="0"/>
      <w:marRight w:val="0"/>
      <w:marTop w:val="0"/>
      <w:marBottom w:val="0"/>
      <w:divBdr>
        <w:top w:val="none" w:sz="0" w:space="0" w:color="auto"/>
        <w:left w:val="none" w:sz="0" w:space="0" w:color="auto"/>
        <w:bottom w:val="none" w:sz="0" w:space="0" w:color="auto"/>
        <w:right w:val="none" w:sz="0" w:space="0" w:color="auto"/>
      </w:divBdr>
    </w:div>
    <w:div w:id="722212344">
      <w:bodyDiv w:val="1"/>
      <w:marLeft w:val="0"/>
      <w:marRight w:val="0"/>
      <w:marTop w:val="0"/>
      <w:marBottom w:val="0"/>
      <w:divBdr>
        <w:top w:val="none" w:sz="0" w:space="0" w:color="auto"/>
        <w:left w:val="none" w:sz="0" w:space="0" w:color="auto"/>
        <w:bottom w:val="none" w:sz="0" w:space="0" w:color="auto"/>
        <w:right w:val="none" w:sz="0" w:space="0" w:color="auto"/>
      </w:divBdr>
      <w:divsChild>
        <w:div w:id="352655626">
          <w:marLeft w:val="0"/>
          <w:marRight w:val="0"/>
          <w:marTop w:val="240"/>
          <w:marBottom w:val="300"/>
          <w:divBdr>
            <w:top w:val="single" w:sz="6" w:space="0" w:color="CCCCCC"/>
            <w:left w:val="single" w:sz="6" w:space="0" w:color="CCCCCC"/>
            <w:bottom w:val="single" w:sz="6" w:space="0" w:color="CCCCCC"/>
            <w:right w:val="single" w:sz="6" w:space="0" w:color="CCCCCC"/>
          </w:divBdr>
          <w:divsChild>
            <w:div w:id="4460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569">
      <w:bodyDiv w:val="1"/>
      <w:marLeft w:val="0"/>
      <w:marRight w:val="0"/>
      <w:marTop w:val="0"/>
      <w:marBottom w:val="0"/>
      <w:divBdr>
        <w:top w:val="none" w:sz="0" w:space="0" w:color="auto"/>
        <w:left w:val="none" w:sz="0" w:space="0" w:color="auto"/>
        <w:bottom w:val="none" w:sz="0" w:space="0" w:color="auto"/>
        <w:right w:val="none" w:sz="0" w:space="0" w:color="auto"/>
      </w:divBdr>
    </w:div>
    <w:div w:id="798572607">
      <w:bodyDiv w:val="1"/>
      <w:marLeft w:val="0"/>
      <w:marRight w:val="0"/>
      <w:marTop w:val="0"/>
      <w:marBottom w:val="0"/>
      <w:divBdr>
        <w:top w:val="none" w:sz="0" w:space="0" w:color="auto"/>
        <w:left w:val="none" w:sz="0" w:space="0" w:color="auto"/>
        <w:bottom w:val="none" w:sz="0" w:space="0" w:color="auto"/>
        <w:right w:val="none" w:sz="0" w:space="0" w:color="auto"/>
      </w:divBdr>
    </w:div>
    <w:div w:id="823547159">
      <w:bodyDiv w:val="1"/>
      <w:marLeft w:val="0"/>
      <w:marRight w:val="0"/>
      <w:marTop w:val="0"/>
      <w:marBottom w:val="0"/>
      <w:divBdr>
        <w:top w:val="none" w:sz="0" w:space="0" w:color="auto"/>
        <w:left w:val="none" w:sz="0" w:space="0" w:color="auto"/>
        <w:bottom w:val="none" w:sz="0" w:space="0" w:color="auto"/>
        <w:right w:val="none" w:sz="0" w:space="0" w:color="auto"/>
      </w:divBdr>
    </w:div>
    <w:div w:id="824249384">
      <w:bodyDiv w:val="1"/>
      <w:marLeft w:val="0"/>
      <w:marRight w:val="0"/>
      <w:marTop w:val="0"/>
      <w:marBottom w:val="0"/>
      <w:divBdr>
        <w:top w:val="none" w:sz="0" w:space="0" w:color="auto"/>
        <w:left w:val="none" w:sz="0" w:space="0" w:color="auto"/>
        <w:bottom w:val="none" w:sz="0" w:space="0" w:color="auto"/>
        <w:right w:val="none" w:sz="0" w:space="0" w:color="auto"/>
      </w:divBdr>
    </w:div>
    <w:div w:id="862205911">
      <w:bodyDiv w:val="1"/>
      <w:marLeft w:val="0"/>
      <w:marRight w:val="0"/>
      <w:marTop w:val="0"/>
      <w:marBottom w:val="0"/>
      <w:divBdr>
        <w:top w:val="none" w:sz="0" w:space="0" w:color="auto"/>
        <w:left w:val="none" w:sz="0" w:space="0" w:color="auto"/>
        <w:bottom w:val="none" w:sz="0" w:space="0" w:color="auto"/>
        <w:right w:val="none" w:sz="0" w:space="0" w:color="auto"/>
      </w:divBdr>
    </w:div>
    <w:div w:id="870727856">
      <w:bodyDiv w:val="1"/>
      <w:marLeft w:val="0"/>
      <w:marRight w:val="0"/>
      <w:marTop w:val="0"/>
      <w:marBottom w:val="0"/>
      <w:divBdr>
        <w:top w:val="none" w:sz="0" w:space="0" w:color="auto"/>
        <w:left w:val="none" w:sz="0" w:space="0" w:color="auto"/>
        <w:bottom w:val="none" w:sz="0" w:space="0" w:color="auto"/>
        <w:right w:val="none" w:sz="0" w:space="0" w:color="auto"/>
      </w:divBdr>
    </w:div>
    <w:div w:id="902258839">
      <w:bodyDiv w:val="1"/>
      <w:marLeft w:val="0"/>
      <w:marRight w:val="0"/>
      <w:marTop w:val="0"/>
      <w:marBottom w:val="0"/>
      <w:divBdr>
        <w:top w:val="none" w:sz="0" w:space="0" w:color="auto"/>
        <w:left w:val="none" w:sz="0" w:space="0" w:color="auto"/>
        <w:bottom w:val="none" w:sz="0" w:space="0" w:color="auto"/>
        <w:right w:val="none" w:sz="0" w:space="0" w:color="auto"/>
      </w:divBdr>
    </w:div>
    <w:div w:id="977607185">
      <w:bodyDiv w:val="1"/>
      <w:marLeft w:val="0"/>
      <w:marRight w:val="0"/>
      <w:marTop w:val="0"/>
      <w:marBottom w:val="0"/>
      <w:divBdr>
        <w:top w:val="none" w:sz="0" w:space="0" w:color="auto"/>
        <w:left w:val="none" w:sz="0" w:space="0" w:color="auto"/>
        <w:bottom w:val="none" w:sz="0" w:space="0" w:color="auto"/>
        <w:right w:val="none" w:sz="0" w:space="0" w:color="auto"/>
      </w:divBdr>
    </w:div>
    <w:div w:id="998074348">
      <w:bodyDiv w:val="1"/>
      <w:marLeft w:val="0"/>
      <w:marRight w:val="0"/>
      <w:marTop w:val="0"/>
      <w:marBottom w:val="0"/>
      <w:divBdr>
        <w:top w:val="none" w:sz="0" w:space="0" w:color="auto"/>
        <w:left w:val="none" w:sz="0" w:space="0" w:color="auto"/>
        <w:bottom w:val="none" w:sz="0" w:space="0" w:color="auto"/>
        <w:right w:val="none" w:sz="0" w:space="0" w:color="auto"/>
      </w:divBdr>
    </w:div>
    <w:div w:id="1019089665">
      <w:bodyDiv w:val="1"/>
      <w:marLeft w:val="0"/>
      <w:marRight w:val="0"/>
      <w:marTop w:val="0"/>
      <w:marBottom w:val="0"/>
      <w:divBdr>
        <w:top w:val="none" w:sz="0" w:space="0" w:color="auto"/>
        <w:left w:val="none" w:sz="0" w:space="0" w:color="auto"/>
        <w:bottom w:val="none" w:sz="0" w:space="0" w:color="auto"/>
        <w:right w:val="none" w:sz="0" w:space="0" w:color="auto"/>
      </w:divBdr>
    </w:div>
    <w:div w:id="1023552701">
      <w:bodyDiv w:val="1"/>
      <w:marLeft w:val="0"/>
      <w:marRight w:val="0"/>
      <w:marTop w:val="0"/>
      <w:marBottom w:val="0"/>
      <w:divBdr>
        <w:top w:val="none" w:sz="0" w:space="0" w:color="auto"/>
        <w:left w:val="none" w:sz="0" w:space="0" w:color="auto"/>
        <w:bottom w:val="none" w:sz="0" w:space="0" w:color="auto"/>
        <w:right w:val="none" w:sz="0" w:space="0" w:color="auto"/>
      </w:divBdr>
    </w:div>
    <w:div w:id="1061905807">
      <w:bodyDiv w:val="1"/>
      <w:marLeft w:val="0"/>
      <w:marRight w:val="0"/>
      <w:marTop w:val="0"/>
      <w:marBottom w:val="0"/>
      <w:divBdr>
        <w:top w:val="none" w:sz="0" w:space="0" w:color="auto"/>
        <w:left w:val="none" w:sz="0" w:space="0" w:color="auto"/>
        <w:bottom w:val="none" w:sz="0" w:space="0" w:color="auto"/>
        <w:right w:val="none" w:sz="0" w:space="0" w:color="auto"/>
      </w:divBdr>
    </w:div>
    <w:div w:id="1089079205">
      <w:bodyDiv w:val="1"/>
      <w:marLeft w:val="0"/>
      <w:marRight w:val="0"/>
      <w:marTop w:val="0"/>
      <w:marBottom w:val="0"/>
      <w:divBdr>
        <w:top w:val="none" w:sz="0" w:space="0" w:color="auto"/>
        <w:left w:val="none" w:sz="0" w:space="0" w:color="auto"/>
        <w:bottom w:val="none" w:sz="0" w:space="0" w:color="auto"/>
        <w:right w:val="none" w:sz="0" w:space="0" w:color="auto"/>
      </w:divBdr>
      <w:divsChild>
        <w:div w:id="553934419">
          <w:marLeft w:val="0"/>
          <w:marRight w:val="0"/>
          <w:marTop w:val="240"/>
          <w:marBottom w:val="300"/>
          <w:divBdr>
            <w:top w:val="single" w:sz="6" w:space="0" w:color="CCCCCC"/>
            <w:left w:val="single" w:sz="6" w:space="0" w:color="CCCCCC"/>
            <w:bottom w:val="single" w:sz="6" w:space="0" w:color="CCCCCC"/>
            <w:right w:val="single" w:sz="6" w:space="0" w:color="CCCCCC"/>
          </w:divBdr>
          <w:divsChild>
            <w:div w:id="13861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0252">
      <w:bodyDiv w:val="1"/>
      <w:marLeft w:val="0"/>
      <w:marRight w:val="0"/>
      <w:marTop w:val="0"/>
      <w:marBottom w:val="0"/>
      <w:divBdr>
        <w:top w:val="none" w:sz="0" w:space="0" w:color="auto"/>
        <w:left w:val="none" w:sz="0" w:space="0" w:color="auto"/>
        <w:bottom w:val="none" w:sz="0" w:space="0" w:color="auto"/>
        <w:right w:val="none" w:sz="0" w:space="0" w:color="auto"/>
      </w:divBdr>
    </w:div>
    <w:div w:id="1166899992">
      <w:bodyDiv w:val="1"/>
      <w:marLeft w:val="0"/>
      <w:marRight w:val="0"/>
      <w:marTop w:val="0"/>
      <w:marBottom w:val="0"/>
      <w:divBdr>
        <w:top w:val="none" w:sz="0" w:space="0" w:color="auto"/>
        <w:left w:val="none" w:sz="0" w:space="0" w:color="auto"/>
        <w:bottom w:val="none" w:sz="0" w:space="0" w:color="auto"/>
        <w:right w:val="none" w:sz="0" w:space="0" w:color="auto"/>
      </w:divBdr>
    </w:div>
    <w:div w:id="1250769898">
      <w:bodyDiv w:val="1"/>
      <w:marLeft w:val="0"/>
      <w:marRight w:val="0"/>
      <w:marTop w:val="0"/>
      <w:marBottom w:val="0"/>
      <w:divBdr>
        <w:top w:val="none" w:sz="0" w:space="0" w:color="auto"/>
        <w:left w:val="none" w:sz="0" w:space="0" w:color="auto"/>
        <w:bottom w:val="none" w:sz="0" w:space="0" w:color="auto"/>
        <w:right w:val="none" w:sz="0" w:space="0" w:color="auto"/>
      </w:divBdr>
    </w:div>
    <w:div w:id="1252810407">
      <w:bodyDiv w:val="1"/>
      <w:marLeft w:val="0"/>
      <w:marRight w:val="0"/>
      <w:marTop w:val="0"/>
      <w:marBottom w:val="0"/>
      <w:divBdr>
        <w:top w:val="none" w:sz="0" w:space="0" w:color="auto"/>
        <w:left w:val="none" w:sz="0" w:space="0" w:color="auto"/>
        <w:bottom w:val="none" w:sz="0" w:space="0" w:color="auto"/>
        <w:right w:val="none" w:sz="0" w:space="0" w:color="auto"/>
      </w:divBdr>
    </w:div>
    <w:div w:id="1263606649">
      <w:bodyDiv w:val="1"/>
      <w:marLeft w:val="0"/>
      <w:marRight w:val="0"/>
      <w:marTop w:val="0"/>
      <w:marBottom w:val="0"/>
      <w:divBdr>
        <w:top w:val="none" w:sz="0" w:space="0" w:color="auto"/>
        <w:left w:val="none" w:sz="0" w:space="0" w:color="auto"/>
        <w:bottom w:val="none" w:sz="0" w:space="0" w:color="auto"/>
        <w:right w:val="none" w:sz="0" w:space="0" w:color="auto"/>
      </w:divBdr>
    </w:div>
    <w:div w:id="1287739572">
      <w:bodyDiv w:val="1"/>
      <w:marLeft w:val="0"/>
      <w:marRight w:val="0"/>
      <w:marTop w:val="0"/>
      <w:marBottom w:val="0"/>
      <w:divBdr>
        <w:top w:val="none" w:sz="0" w:space="0" w:color="auto"/>
        <w:left w:val="none" w:sz="0" w:space="0" w:color="auto"/>
        <w:bottom w:val="none" w:sz="0" w:space="0" w:color="auto"/>
        <w:right w:val="none" w:sz="0" w:space="0" w:color="auto"/>
      </w:divBdr>
    </w:div>
    <w:div w:id="1329285134">
      <w:bodyDiv w:val="1"/>
      <w:marLeft w:val="0"/>
      <w:marRight w:val="0"/>
      <w:marTop w:val="0"/>
      <w:marBottom w:val="0"/>
      <w:divBdr>
        <w:top w:val="none" w:sz="0" w:space="0" w:color="auto"/>
        <w:left w:val="none" w:sz="0" w:space="0" w:color="auto"/>
        <w:bottom w:val="none" w:sz="0" w:space="0" w:color="auto"/>
        <w:right w:val="none" w:sz="0" w:space="0" w:color="auto"/>
      </w:divBdr>
    </w:div>
    <w:div w:id="1343782635">
      <w:bodyDiv w:val="1"/>
      <w:marLeft w:val="0"/>
      <w:marRight w:val="0"/>
      <w:marTop w:val="0"/>
      <w:marBottom w:val="0"/>
      <w:divBdr>
        <w:top w:val="none" w:sz="0" w:space="0" w:color="auto"/>
        <w:left w:val="none" w:sz="0" w:space="0" w:color="auto"/>
        <w:bottom w:val="none" w:sz="0" w:space="0" w:color="auto"/>
        <w:right w:val="none" w:sz="0" w:space="0" w:color="auto"/>
      </w:divBdr>
    </w:div>
    <w:div w:id="1356809745">
      <w:bodyDiv w:val="1"/>
      <w:marLeft w:val="0"/>
      <w:marRight w:val="0"/>
      <w:marTop w:val="0"/>
      <w:marBottom w:val="0"/>
      <w:divBdr>
        <w:top w:val="none" w:sz="0" w:space="0" w:color="auto"/>
        <w:left w:val="none" w:sz="0" w:space="0" w:color="auto"/>
        <w:bottom w:val="none" w:sz="0" w:space="0" w:color="auto"/>
        <w:right w:val="none" w:sz="0" w:space="0" w:color="auto"/>
      </w:divBdr>
    </w:div>
    <w:div w:id="1359350387">
      <w:bodyDiv w:val="1"/>
      <w:marLeft w:val="0"/>
      <w:marRight w:val="0"/>
      <w:marTop w:val="0"/>
      <w:marBottom w:val="0"/>
      <w:divBdr>
        <w:top w:val="none" w:sz="0" w:space="0" w:color="auto"/>
        <w:left w:val="none" w:sz="0" w:space="0" w:color="auto"/>
        <w:bottom w:val="none" w:sz="0" w:space="0" w:color="auto"/>
        <w:right w:val="none" w:sz="0" w:space="0" w:color="auto"/>
      </w:divBdr>
    </w:div>
    <w:div w:id="1417752556">
      <w:bodyDiv w:val="1"/>
      <w:marLeft w:val="0"/>
      <w:marRight w:val="0"/>
      <w:marTop w:val="0"/>
      <w:marBottom w:val="0"/>
      <w:divBdr>
        <w:top w:val="none" w:sz="0" w:space="0" w:color="auto"/>
        <w:left w:val="none" w:sz="0" w:space="0" w:color="auto"/>
        <w:bottom w:val="none" w:sz="0" w:space="0" w:color="auto"/>
        <w:right w:val="none" w:sz="0" w:space="0" w:color="auto"/>
      </w:divBdr>
    </w:div>
    <w:div w:id="1422796425">
      <w:bodyDiv w:val="1"/>
      <w:marLeft w:val="0"/>
      <w:marRight w:val="0"/>
      <w:marTop w:val="0"/>
      <w:marBottom w:val="0"/>
      <w:divBdr>
        <w:top w:val="none" w:sz="0" w:space="0" w:color="auto"/>
        <w:left w:val="none" w:sz="0" w:space="0" w:color="auto"/>
        <w:bottom w:val="none" w:sz="0" w:space="0" w:color="auto"/>
        <w:right w:val="none" w:sz="0" w:space="0" w:color="auto"/>
      </w:divBdr>
    </w:div>
    <w:div w:id="1429886044">
      <w:bodyDiv w:val="1"/>
      <w:marLeft w:val="0"/>
      <w:marRight w:val="0"/>
      <w:marTop w:val="0"/>
      <w:marBottom w:val="0"/>
      <w:divBdr>
        <w:top w:val="none" w:sz="0" w:space="0" w:color="auto"/>
        <w:left w:val="none" w:sz="0" w:space="0" w:color="auto"/>
        <w:bottom w:val="none" w:sz="0" w:space="0" w:color="auto"/>
        <w:right w:val="none" w:sz="0" w:space="0" w:color="auto"/>
      </w:divBdr>
    </w:div>
    <w:div w:id="1445074399">
      <w:bodyDiv w:val="1"/>
      <w:marLeft w:val="0"/>
      <w:marRight w:val="0"/>
      <w:marTop w:val="0"/>
      <w:marBottom w:val="0"/>
      <w:divBdr>
        <w:top w:val="none" w:sz="0" w:space="0" w:color="auto"/>
        <w:left w:val="none" w:sz="0" w:space="0" w:color="auto"/>
        <w:bottom w:val="none" w:sz="0" w:space="0" w:color="auto"/>
        <w:right w:val="none" w:sz="0" w:space="0" w:color="auto"/>
      </w:divBdr>
    </w:div>
    <w:div w:id="1466006950">
      <w:bodyDiv w:val="1"/>
      <w:marLeft w:val="0"/>
      <w:marRight w:val="0"/>
      <w:marTop w:val="0"/>
      <w:marBottom w:val="0"/>
      <w:divBdr>
        <w:top w:val="none" w:sz="0" w:space="0" w:color="auto"/>
        <w:left w:val="none" w:sz="0" w:space="0" w:color="auto"/>
        <w:bottom w:val="none" w:sz="0" w:space="0" w:color="auto"/>
        <w:right w:val="none" w:sz="0" w:space="0" w:color="auto"/>
      </w:divBdr>
    </w:div>
    <w:div w:id="1504971585">
      <w:bodyDiv w:val="1"/>
      <w:marLeft w:val="0"/>
      <w:marRight w:val="0"/>
      <w:marTop w:val="0"/>
      <w:marBottom w:val="0"/>
      <w:divBdr>
        <w:top w:val="none" w:sz="0" w:space="0" w:color="auto"/>
        <w:left w:val="none" w:sz="0" w:space="0" w:color="auto"/>
        <w:bottom w:val="none" w:sz="0" w:space="0" w:color="auto"/>
        <w:right w:val="none" w:sz="0" w:space="0" w:color="auto"/>
      </w:divBdr>
    </w:div>
    <w:div w:id="1506282671">
      <w:bodyDiv w:val="1"/>
      <w:marLeft w:val="0"/>
      <w:marRight w:val="0"/>
      <w:marTop w:val="0"/>
      <w:marBottom w:val="0"/>
      <w:divBdr>
        <w:top w:val="none" w:sz="0" w:space="0" w:color="auto"/>
        <w:left w:val="none" w:sz="0" w:space="0" w:color="auto"/>
        <w:bottom w:val="none" w:sz="0" w:space="0" w:color="auto"/>
        <w:right w:val="none" w:sz="0" w:space="0" w:color="auto"/>
      </w:divBdr>
    </w:div>
    <w:div w:id="1558665132">
      <w:bodyDiv w:val="1"/>
      <w:marLeft w:val="0"/>
      <w:marRight w:val="0"/>
      <w:marTop w:val="0"/>
      <w:marBottom w:val="0"/>
      <w:divBdr>
        <w:top w:val="none" w:sz="0" w:space="0" w:color="auto"/>
        <w:left w:val="none" w:sz="0" w:space="0" w:color="auto"/>
        <w:bottom w:val="none" w:sz="0" w:space="0" w:color="auto"/>
        <w:right w:val="none" w:sz="0" w:space="0" w:color="auto"/>
      </w:divBdr>
    </w:div>
    <w:div w:id="1560555784">
      <w:bodyDiv w:val="1"/>
      <w:marLeft w:val="0"/>
      <w:marRight w:val="0"/>
      <w:marTop w:val="0"/>
      <w:marBottom w:val="0"/>
      <w:divBdr>
        <w:top w:val="none" w:sz="0" w:space="0" w:color="auto"/>
        <w:left w:val="none" w:sz="0" w:space="0" w:color="auto"/>
        <w:bottom w:val="none" w:sz="0" w:space="0" w:color="auto"/>
        <w:right w:val="none" w:sz="0" w:space="0" w:color="auto"/>
      </w:divBdr>
    </w:div>
    <w:div w:id="1655835914">
      <w:bodyDiv w:val="1"/>
      <w:marLeft w:val="0"/>
      <w:marRight w:val="0"/>
      <w:marTop w:val="0"/>
      <w:marBottom w:val="0"/>
      <w:divBdr>
        <w:top w:val="none" w:sz="0" w:space="0" w:color="auto"/>
        <w:left w:val="none" w:sz="0" w:space="0" w:color="auto"/>
        <w:bottom w:val="none" w:sz="0" w:space="0" w:color="auto"/>
        <w:right w:val="none" w:sz="0" w:space="0" w:color="auto"/>
      </w:divBdr>
    </w:div>
    <w:div w:id="1711371909">
      <w:bodyDiv w:val="1"/>
      <w:marLeft w:val="0"/>
      <w:marRight w:val="0"/>
      <w:marTop w:val="0"/>
      <w:marBottom w:val="0"/>
      <w:divBdr>
        <w:top w:val="none" w:sz="0" w:space="0" w:color="auto"/>
        <w:left w:val="none" w:sz="0" w:space="0" w:color="auto"/>
        <w:bottom w:val="none" w:sz="0" w:space="0" w:color="auto"/>
        <w:right w:val="none" w:sz="0" w:space="0" w:color="auto"/>
      </w:divBdr>
    </w:div>
    <w:div w:id="1723093554">
      <w:bodyDiv w:val="1"/>
      <w:marLeft w:val="0"/>
      <w:marRight w:val="0"/>
      <w:marTop w:val="0"/>
      <w:marBottom w:val="0"/>
      <w:divBdr>
        <w:top w:val="none" w:sz="0" w:space="0" w:color="auto"/>
        <w:left w:val="none" w:sz="0" w:space="0" w:color="auto"/>
        <w:bottom w:val="none" w:sz="0" w:space="0" w:color="auto"/>
        <w:right w:val="none" w:sz="0" w:space="0" w:color="auto"/>
      </w:divBdr>
    </w:div>
    <w:div w:id="1741828376">
      <w:bodyDiv w:val="1"/>
      <w:marLeft w:val="0"/>
      <w:marRight w:val="0"/>
      <w:marTop w:val="0"/>
      <w:marBottom w:val="0"/>
      <w:divBdr>
        <w:top w:val="none" w:sz="0" w:space="0" w:color="auto"/>
        <w:left w:val="none" w:sz="0" w:space="0" w:color="auto"/>
        <w:bottom w:val="none" w:sz="0" w:space="0" w:color="auto"/>
        <w:right w:val="none" w:sz="0" w:space="0" w:color="auto"/>
      </w:divBdr>
    </w:div>
    <w:div w:id="1768766714">
      <w:bodyDiv w:val="1"/>
      <w:marLeft w:val="0"/>
      <w:marRight w:val="0"/>
      <w:marTop w:val="0"/>
      <w:marBottom w:val="0"/>
      <w:divBdr>
        <w:top w:val="none" w:sz="0" w:space="0" w:color="auto"/>
        <w:left w:val="none" w:sz="0" w:space="0" w:color="auto"/>
        <w:bottom w:val="none" w:sz="0" w:space="0" w:color="auto"/>
        <w:right w:val="none" w:sz="0" w:space="0" w:color="auto"/>
      </w:divBdr>
    </w:div>
    <w:div w:id="1773431311">
      <w:bodyDiv w:val="1"/>
      <w:marLeft w:val="0"/>
      <w:marRight w:val="0"/>
      <w:marTop w:val="0"/>
      <w:marBottom w:val="0"/>
      <w:divBdr>
        <w:top w:val="none" w:sz="0" w:space="0" w:color="auto"/>
        <w:left w:val="none" w:sz="0" w:space="0" w:color="auto"/>
        <w:bottom w:val="none" w:sz="0" w:space="0" w:color="auto"/>
        <w:right w:val="none" w:sz="0" w:space="0" w:color="auto"/>
      </w:divBdr>
    </w:div>
    <w:div w:id="1788886756">
      <w:bodyDiv w:val="1"/>
      <w:marLeft w:val="0"/>
      <w:marRight w:val="0"/>
      <w:marTop w:val="0"/>
      <w:marBottom w:val="0"/>
      <w:divBdr>
        <w:top w:val="none" w:sz="0" w:space="0" w:color="auto"/>
        <w:left w:val="none" w:sz="0" w:space="0" w:color="auto"/>
        <w:bottom w:val="none" w:sz="0" w:space="0" w:color="auto"/>
        <w:right w:val="none" w:sz="0" w:space="0" w:color="auto"/>
      </w:divBdr>
    </w:div>
    <w:div w:id="1797986640">
      <w:bodyDiv w:val="1"/>
      <w:marLeft w:val="0"/>
      <w:marRight w:val="0"/>
      <w:marTop w:val="0"/>
      <w:marBottom w:val="0"/>
      <w:divBdr>
        <w:top w:val="none" w:sz="0" w:space="0" w:color="auto"/>
        <w:left w:val="none" w:sz="0" w:space="0" w:color="auto"/>
        <w:bottom w:val="none" w:sz="0" w:space="0" w:color="auto"/>
        <w:right w:val="none" w:sz="0" w:space="0" w:color="auto"/>
      </w:divBdr>
    </w:div>
    <w:div w:id="1847092910">
      <w:bodyDiv w:val="1"/>
      <w:marLeft w:val="0"/>
      <w:marRight w:val="0"/>
      <w:marTop w:val="0"/>
      <w:marBottom w:val="0"/>
      <w:divBdr>
        <w:top w:val="none" w:sz="0" w:space="0" w:color="auto"/>
        <w:left w:val="none" w:sz="0" w:space="0" w:color="auto"/>
        <w:bottom w:val="none" w:sz="0" w:space="0" w:color="auto"/>
        <w:right w:val="none" w:sz="0" w:space="0" w:color="auto"/>
      </w:divBdr>
    </w:div>
    <w:div w:id="1850869555">
      <w:bodyDiv w:val="1"/>
      <w:marLeft w:val="0"/>
      <w:marRight w:val="0"/>
      <w:marTop w:val="0"/>
      <w:marBottom w:val="0"/>
      <w:divBdr>
        <w:top w:val="none" w:sz="0" w:space="0" w:color="auto"/>
        <w:left w:val="none" w:sz="0" w:space="0" w:color="auto"/>
        <w:bottom w:val="none" w:sz="0" w:space="0" w:color="auto"/>
        <w:right w:val="none" w:sz="0" w:space="0" w:color="auto"/>
      </w:divBdr>
    </w:div>
    <w:div w:id="1895433686">
      <w:bodyDiv w:val="1"/>
      <w:marLeft w:val="0"/>
      <w:marRight w:val="0"/>
      <w:marTop w:val="0"/>
      <w:marBottom w:val="0"/>
      <w:divBdr>
        <w:top w:val="none" w:sz="0" w:space="0" w:color="auto"/>
        <w:left w:val="none" w:sz="0" w:space="0" w:color="auto"/>
        <w:bottom w:val="none" w:sz="0" w:space="0" w:color="auto"/>
        <w:right w:val="none" w:sz="0" w:space="0" w:color="auto"/>
      </w:divBdr>
    </w:div>
    <w:div w:id="1925869200">
      <w:bodyDiv w:val="1"/>
      <w:marLeft w:val="0"/>
      <w:marRight w:val="0"/>
      <w:marTop w:val="0"/>
      <w:marBottom w:val="0"/>
      <w:divBdr>
        <w:top w:val="none" w:sz="0" w:space="0" w:color="auto"/>
        <w:left w:val="none" w:sz="0" w:space="0" w:color="auto"/>
        <w:bottom w:val="none" w:sz="0" w:space="0" w:color="auto"/>
        <w:right w:val="none" w:sz="0" w:space="0" w:color="auto"/>
      </w:divBdr>
    </w:div>
    <w:div w:id="1927152402">
      <w:bodyDiv w:val="1"/>
      <w:marLeft w:val="0"/>
      <w:marRight w:val="0"/>
      <w:marTop w:val="0"/>
      <w:marBottom w:val="0"/>
      <w:divBdr>
        <w:top w:val="none" w:sz="0" w:space="0" w:color="auto"/>
        <w:left w:val="none" w:sz="0" w:space="0" w:color="auto"/>
        <w:bottom w:val="none" w:sz="0" w:space="0" w:color="auto"/>
        <w:right w:val="none" w:sz="0" w:space="0" w:color="auto"/>
      </w:divBdr>
    </w:div>
    <w:div w:id="1963271213">
      <w:bodyDiv w:val="1"/>
      <w:marLeft w:val="0"/>
      <w:marRight w:val="0"/>
      <w:marTop w:val="0"/>
      <w:marBottom w:val="0"/>
      <w:divBdr>
        <w:top w:val="none" w:sz="0" w:space="0" w:color="auto"/>
        <w:left w:val="none" w:sz="0" w:space="0" w:color="auto"/>
        <w:bottom w:val="none" w:sz="0" w:space="0" w:color="auto"/>
        <w:right w:val="none" w:sz="0" w:space="0" w:color="auto"/>
      </w:divBdr>
    </w:div>
    <w:div w:id="1969969706">
      <w:bodyDiv w:val="1"/>
      <w:marLeft w:val="0"/>
      <w:marRight w:val="0"/>
      <w:marTop w:val="0"/>
      <w:marBottom w:val="0"/>
      <w:divBdr>
        <w:top w:val="none" w:sz="0" w:space="0" w:color="auto"/>
        <w:left w:val="none" w:sz="0" w:space="0" w:color="auto"/>
        <w:bottom w:val="none" w:sz="0" w:space="0" w:color="auto"/>
        <w:right w:val="none" w:sz="0" w:space="0" w:color="auto"/>
      </w:divBdr>
    </w:div>
    <w:div w:id="1990669737">
      <w:bodyDiv w:val="1"/>
      <w:marLeft w:val="0"/>
      <w:marRight w:val="0"/>
      <w:marTop w:val="0"/>
      <w:marBottom w:val="0"/>
      <w:divBdr>
        <w:top w:val="none" w:sz="0" w:space="0" w:color="auto"/>
        <w:left w:val="none" w:sz="0" w:space="0" w:color="auto"/>
        <w:bottom w:val="none" w:sz="0" w:space="0" w:color="auto"/>
        <w:right w:val="none" w:sz="0" w:space="0" w:color="auto"/>
      </w:divBdr>
    </w:div>
    <w:div w:id="1993949098">
      <w:bodyDiv w:val="1"/>
      <w:marLeft w:val="0"/>
      <w:marRight w:val="0"/>
      <w:marTop w:val="0"/>
      <w:marBottom w:val="0"/>
      <w:divBdr>
        <w:top w:val="none" w:sz="0" w:space="0" w:color="auto"/>
        <w:left w:val="none" w:sz="0" w:space="0" w:color="auto"/>
        <w:bottom w:val="none" w:sz="0" w:space="0" w:color="auto"/>
        <w:right w:val="none" w:sz="0" w:space="0" w:color="auto"/>
      </w:divBdr>
    </w:div>
    <w:div w:id="1998729446">
      <w:bodyDiv w:val="1"/>
      <w:marLeft w:val="0"/>
      <w:marRight w:val="0"/>
      <w:marTop w:val="0"/>
      <w:marBottom w:val="0"/>
      <w:divBdr>
        <w:top w:val="none" w:sz="0" w:space="0" w:color="auto"/>
        <w:left w:val="none" w:sz="0" w:space="0" w:color="auto"/>
        <w:bottom w:val="none" w:sz="0" w:space="0" w:color="auto"/>
        <w:right w:val="none" w:sz="0" w:space="0" w:color="auto"/>
      </w:divBdr>
    </w:div>
    <w:div w:id="2100709147">
      <w:bodyDiv w:val="1"/>
      <w:marLeft w:val="0"/>
      <w:marRight w:val="0"/>
      <w:marTop w:val="0"/>
      <w:marBottom w:val="0"/>
      <w:divBdr>
        <w:top w:val="none" w:sz="0" w:space="0" w:color="auto"/>
        <w:left w:val="none" w:sz="0" w:space="0" w:color="auto"/>
        <w:bottom w:val="none" w:sz="0" w:space="0" w:color="auto"/>
        <w:right w:val="none" w:sz="0" w:space="0" w:color="auto"/>
      </w:divBdr>
    </w:div>
    <w:div w:id="210784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s.org/newsroom/state-regulator-priorities-2023" TargetMode="External"/><Relationship Id="rId13" Type="http://schemas.openxmlformats.org/officeDocument/2006/relationships/hyperlink" Target="https://consumer.ftc.gov/consumer-alerts/2023/02/visit-ftcgovlanguages-fraud-and-scam-advice-12-languages?utm_source=govdelivery" TargetMode="External"/><Relationship Id="rId18" Type="http://schemas.openxmlformats.org/officeDocument/2006/relationships/hyperlink" Target="https://www.federalregister.gov/documents/2022/12/16/2022-27031/beneficial-ownership-information-access-and-safeguards-and-use-of-fincen-identifiers-for-entit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incen.gov/news/speeches/prepared-remarks-fincen-acting-deputy-director-jimmy-kirby-during-identity-policy" TargetMode="External"/><Relationship Id="rId17" Type="http://schemas.openxmlformats.org/officeDocument/2006/relationships/hyperlink" Target="https://www.cisa.gov/uscert/ncas/current-activity/2023/02/02/cisco-releases-security-advisories-multiple-products" TargetMode="External"/><Relationship Id="rId2" Type="http://schemas.openxmlformats.org/officeDocument/2006/relationships/numbering" Target="numbering.xml"/><Relationship Id="rId16" Type="http://schemas.openxmlformats.org/officeDocument/2006/relationships/hyperlink" Target="https://www.consumerfinance.gov/about-us/newsroom/cfpb-proposes-rule-to-rein-in-excessive-credit-card-late-fees/" TargetMode="External"/><Relationship Id="rId20" Type="http://schemas.openxmlformats.org/officeDocument/2006/relationships/hyperlink" Target="https://files.consumerfinance.gov/f/documents/cfpb_credit-card-penalty-fees-nprm_2023-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tlook@phil.frb.org" TargetMode="External"/><Relationship Id="rId5" Type="http://schemas.openxmlformats.org/officeDocument/2006/relationships/webSettings" Target="webSettings.xml"/><Relationship Id="rId15" Type="http://schemas.openxmlformats.org/officeDocument/2006/relationships/hyperlink" Target="https://nam12.safelinks.protection.outlook.com/?url=https%3A%2F%2Flnks.gd%2Fl%2FeyJhbGciOiJIUzI1NiJ9.eyJidWxsZXRpbl9saW5rX2lkIjoxMDEsInVyaSI6ImJwMjpjbGljayIsImJ1bGxldGluX2lkIjoiMjAyMzAyMDMuNzA5NjIwNDEiLCJ1cmwiOiJodHRwczovL3d3dy5mZGljLmdvdi9uZXdzL2ZpbmFuY2lhbC1pbnN0aXR1dGlvbi1sZXR0ZXJzLzIwMjMvZmlsMjMwMDYuaHRtbD9zb3VyY2U9Z292ZGVsaXZlcnkmdXRtX21lZGl1bT1lbWFpbCZ1dG1fc291cmNlPWdvdmRlbGl2ZXJ5In0.E4zAOMKHzAxz1zw2AggsJxzCIvnCIfmfD30QuP4qQj8%2Fs%2F104885428%2Fbr%2F153968053029-l&amp;data=05%7C01%7C%7C376950d2e8b54f9633cf08db06015950%7C77596ed9db5b4a61802477a1ecb2c558%7C0%7C0%7C638110375130861810%7CUnknown%7CTWFpbGZsb3d8eyJWIjoiMC4wLjAwMDAiLCJQIjoiV2luMzIiLCJBTiI6Ik1haWwiLCJXVCI6Mn0%3D%7C3000%7C%7C%7C&amp;sdata=Tqrcu1sI9n7Qx8U6RHnhNqeS6QFjBd5DOyFS%2FYvrt0E%3D&amp;reserved=0" TargetMode="External"/><Relationship Id="rId10" Type="http://schemas.openxmlformats.org/officeDocument/2006/relationships/hyperlink" Target="https://nam12.safelinks.protection.outlook.com/?url=https%3A%2F%2Ft.e2ma.net%2Fclick%2F4p90zf%2Fs8v5om%2Fswu4hs&amp;data=05%7C01%7C%7Ce7ef5164b7c6462ee25e08db03b47aa7%7C77596ed9db5b4a61802477a1ecb2c558%7C0%7C0%7C638107845917293268%7CUnknown%7CTWFpbGZsb3d8eyJWIjoiMC4wLjAwMDAiLCJQIjoiV2luMzIiLCJBTiI6Ik1haWwiLCJXVCI6Mn0%3D%7C3000%7C%7C%7C&amp;sdata=tX5v6RPoB%2BcsDgwmhBj7F8AIIVnsPSkEVUM8T%2Bs2wEE%3D&amp;reserved=0" TargetMode="External"/><Relationship Id="rId19" Type="http://schemas.openxmlformats.org/officeDocument/2006/relationships/hyperlink" Target="https://www.ftc.gov/legal-library/browse/federal-register-notices/non-compete-clause-rulemaking" TargetMode="External"/><Relationship Id="rId4" Type="http://schemas.openxmlformats.org/officeDocument/2006/relationships/settings" Target="settings.xml"/><Relationship Id="rId9" Type="http://schemas.openxmlformats.org/officeDocument/2006/relationships/hyperlink" Target="https://nam12.safelinks.protection.outlook.com/?url=https%3A%2F%2Ft.e2ma.net%2Fclick%2F4p90zf%2Fs8v5om%2Fswu4hs&amp;data=05%7C01%7C%7Ce7ef5164b7c6462ee25e08db03b47aa7%7C77596ed9db5b4a61802477a1ecb2c558%7C0%7C0%7C638107845917293268%7CUnknown%7CTWFpbGZsb3d8eyJWIjoiMC4wLjAwMDAiLCJQIjoiV2luMzIiLCJBTiI6Ik1haWwiLCJXVCI6Mn0%3D%7C3000%7C%7C%7C&amp;sdata=tX5v6RPoB%2BcsDgwmhBj7F8AIIVnsPSkEVUM8T%2Bs2wEE%3D&amp;reserved=0" TargetMode="External"/><Relationship Id="rId14" Type="http://schemas.openxmlformats.org/officeDocument/2006/relationships/hyperlink" Target="https://www.fdic.gov/news/press-releases/2023/pr23007.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53EC-1E0D-45A0-8451-AD6A225D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Greavu</dc:creator>
  <cp:keywords/>
  <dc:description/>
  <cp:lastModifiedBy>CBW Mail</cp:lastModifiedBy>
  <cp:revision>2</cp:revision>
  <cp:lastPrinted>2022-08-01T14:33:00Z</cp:lastPrinted>
  <dcterms:created xsi:type="dcterms:W3CDTF">2023-02-07T16:21:00Z</dcterms:created>
  <dcterms:modified xsi:type="dcterms:W3CDTF">2023-02-07T16:21:00Z</dcterms:modified>
</cp:coreProperties>
</file>